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 xml:space="preserve">浙江金泰莱环保科技有限公司贵金属焚烧尾气系统改造项目 </w:t>
      </w: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采</w:t>
      </w: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购</w:t>
      </w: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需</w:t>
      </w: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default"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求</w:t>
      </w: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outlineLvl w:val="0"/>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采购单位名称：浙江金泰莱环保科技有限公司</w:t>
      </w: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p>
    <w:p>
      <w:pPr>
        <w:snapToGrid w:val="0"/>
        <w:spacing w:line="360" w:lineRule="exact"/>
        <w:ind w:left="238"/>
        <w:jc w:val="center"/>
        <w:outlineLvl w:val="0"/>
        <w:rPr>
          <w:rFonts w:hint="eastAsia" w:ascii="宋体" w:hAnsi="宋体" w:cs="宋体"/>
          <w:b/>
          <w:bCs/>
          <w:color w:val="auto"/>
          <w:sz w:val="32"/>
          <w:szCs w:val="32"/>
          <w:highlight w:val="none"/>
        </w:rPr>
      </w:pPr>
      <w:bookmarkStart w:id="15" w:name="_GoBack"/>
      <w:bookmarkEnd w:id="15"/>
    </w:p>
    <w:p>
      <w:pPr>
        <w:snapToGrid w:val="0"/>
        <w:spacing w:line="360" w:lineRule="exact"/>
        <w:ind w:left="238"/>
        <w:jc w:val="center"/>
        <w:outlineLvl w:val="0"/>
        <w:rPr>
          <w:rFonts w:hint="eastAsia" w:ascii="宋体" w:hAnsi="宋体" w:cs="宋体"/>
          <w:b/>
          <w:color w:val="auto"/>
          <w:sz w:val="32"/>
          <w:szCs w:val="32"/>
          <w:highlight w:val="none"/>
        </w:rPr>
      </w:pPr>
      <w:r>
        <w:rPr>
          <w:rFonts w:hint="eastAsia" w:ascii="宋体" w:hAnsi="宋体" w:cs="宋体"/>
          <w:b/>
          <w:bCs/>
          <w:color w:val="auto"/>
          <w:sz w:val="32"/>
          <w:szCs w:val="32"/>
          <w:highlight w:val="none"/>
        </w:rPr>
        <w:t>采购</w:t>
      </w:r>
      <w:r>
        <w:rPr>
          <w:rFonts w:hint="eastAsia" w:ascii="宋体" w:hAnsi="宋体" w:cs="宋体"/>
          <w:b/>
          <w:color w:val="auto"/>
          <w:sz w:val="32"/>
          <w:szCs w:val="32"/>
          <w:highlight w:val="none"/>
        </w:rPr>
        <w:t>需求</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color w:val="auto"/>
          <w:spacing w:val="2"/>
          <w:sz w:val="21"/>
          <w:szCs w:val="21"/>
          <w:highlight w:val="none"/>
        </w:rPr>
      </w:pPr>
      <w:r>
        <w:rPr>
          <w:rFonts w:hint="eastAsia" w:ascii="宋体" w:hAnsi="宋体" w:cs="宋体"/>
          <w:b/>
          <w:bCs/>
          <w:color w:val="auto"/>
          <w:kern w:val="0"/>
          <w:sz w:val="21"/>
          <w:szCs w:val="21"/>
          <w:highlight w:val="none"/>
          <w:lang w:val="en-US" w:eastAsia="zh-CN"/>
        </w:rPr>
        <w:t>一</w:t>
      </w:r>
      <w:r>
        <w:rPr>
          <w:rFonts w:hint="eastAsia" w:ascii="宋体" w:hAnsi="宋体" w:eastAsia="宋体" w:cs="宋体"/>
          <w:b/>
          <w:bCs/>
          <w:color w:val="auto"/>
          <w:kern w:val="0"/>
          <w:sz w:val="21"/>
          <w:szCs w:val="21"/>
          <w:highlight w:val="none"/>
          <w:lang w:val="en-US" w:eastAsia="zh-CN"/>
        </w:rPr>
        <w:t>、</w:t>
      </w:r>
      <w:r>
        <w:rPr>
          <w:rFonts w:hint="eastAsia" w:ascii="宋体" w:hAnsi="宋体" w:eastAsia="宋体" w:cs="宋体"/>
          <w:b/>
          <w:bCs/>
          <w:color w:val="auto"/>
          <w:kern w:val="0"/>
          <w:sz w:val="21"/>
          <w:szCs w:val="21"/>
          <w:highlight w:val="none"/>
        </w:rPr>
        <w:t>采购单位名称：</w:t>
      </w:r>
      <w:r>
        <w:rPr>
          <w:rFonts w:hint="eastAsia" w:ascii="宋体" w:hAnsi="宋体" w:eastAsia="宋体" w:cs="宋体"/>
          <w:bCs/>
          <w:color w:val="auto"/>
          <w:spacing w:val="-4"/>
          <w:sz w:val="21"/>
          <w:szCs w:val="21"/>
          <w:highlight w:val="none"/>
        </w:rPr>
        <w:t xml:space="preserve">浙江金泰莱环保科技有限公司 </w:t>
      </w:r>
    </w:p>
    <w:p>
      <w:pPr>
        <w:pStyle w:val="9"/>
        <w:pageBreakBefore w:val="0"/>
        <w:widowControl w:val="0"/>
        <w:kinsoku/>
        <w:wordWrap/>
        <w:overflowPunct/>
        <w:topLinePunct w:val="0"/>
        <w:autoSpaceDE/>
        <w:autoSpaceDN/>
        <w:bidi w:val="0"/>
        <w:adjustRightInd/>
        <w:snapToGrid/>
        <w:spacing w:line="500" w:lineRule="exact"/>
        <w:ind w:left="0" w:firstLine="406" w:firstLineChars="200"/>
        <w:textAlignment w:val="auto"/>
        <w:rPr>
          <w:rFonts w:hint="eastAsia" w:ascii="宋体" w:hAnsi="宋体" w:eastAsia="宋体" w:cs="宋体"/>
          <w:bCs/>
          <w:color w:val="auto"/>
          <w:sz w:val="21"/>
          <w:szCs w:val="21"/>
          <w:highlight w:val="none"/>
          <w:lang w:eastAsia="zh-CN"/>
        </w:rPr>
      </w:pPr>
      <w:r>
        <w:rPr>
          <w:rFonts w:hint="eastAsia" w:hAnsi="宋体" w:cs="宋体"/>
          <w:b/>
          <w:bCs/>
          <w:color w:val="auto"/>
          <w:kern w:val="0"/>
          <w:sz w:val="21"/>
          <w:szCs w:val="21"/>
          <w:highlight w:val="none"/>
          <w:lang w:val="en-US" w:eastAsia="zh-CN"/>
        </w:rPr>
        <w:t>二</w:t>
      </w:r>
      <w:r>
        <w:rPr>
          <w:rFonts w:hint="eastAsia" w:ascii="宋体" w:hAnsi="宋体" w:eastAsia="宋体" w:cs="宋体"/>
          <w:b/>
          <w:bCs/>
          <w:color w:val="auto"/>
          <w:kern w:val="0"/>
          <w:sz w:val="21"/>
          <w:szCs w:val="21"/>
          <w:highlight w:val="none"/>
          <w:lang w:eastAsia="zh-CN"/>
        </w:rPr>
        <w:t>、项目名称：浙江金泰莱环保科技有限公司贵金属焚烧尾气系统改造项目</w:t>
      </w:r>
      <w:r>
        <w:rPr>
          <w:rFonts w:hint="eastAsia" w:ascii="宋体" w:hAnsi="宋体" w:eastAsia="宋体" w:cs="宋体"/>
          <w:bCs/>
          <w:color w:val="auto"/>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color w:val="auto"/>
          <w:sz w:val="21"/>
          <w:szCs w:val="21"/>
          <w:highlight w:val="none"/>
        </w:rPr>
      </w:pPr>
      <w:r>
        <w:rPr>
          <w:rFonts w:hint="eastAsia" w:ascii="宋体" w:hAnsi="宋体" w:cs="宋体"/>
          <w:b/>
          <w:color w:val="auto"/>
          <w:sz w:val="21"/>
          <w:szCs w:val="21"/>
          <w:highlight w:val="none"/>
          <w:lang w:val="en-US" w:eastAsia="zh-CN"/>
        </w:rPr>
        <w:t>三</w:t>
      </w:r>
      <w:r>
        <w:rPr>
          <w:rFonts w:hint="eastAsia" w:ascii="宋体" w:hAnsi="宋体" w:eastAsia="宋体" w:cs="宋体"/>
          <w:b/>
          <w:color w:val="auto"/>
          <w:sz w:val="21"/>
          <w:szCs w:val="21"/>
          <w:highlight w:val="none"/>
        </w:rPr>
        <w:t>、技术参数要求：</w:t>
      </w:r>
    </w:p>
    <w:p>
      <w:pPr>
        <w:pStyle w:val="4"/>
        <w:pageBreakBefore w:val="0"/>
        <w:widowControl w:val="0"/>
        <w:kinsoku/>
        <w:wordWrap/>
        <w:overflowPunct/>
        <w:topLinePunct w:val="0"/>
        <w:autoSpaceDE/>
        <w:autoSpaceDN/>
        <w:bidi w:val="0"/>
        <w:adjustRightInd/>
        <w:snapToGrid/>
        <w:spacing w:before="0" w:beforeLines="0" w:after="0" w:afterLines="0" w:line="500" w:lineRule="exact"/>
        <w:ind w:left="0" w:firstLine="422" w:firstLineChars="200"/>
        <w:jc w:val="both"/>
        <w:textAlignment w:val="auto"/>
        <w:rPr>
          <w:rFonts w:hint="eastAsia" w:ascii="宋体" w:hAnsi="宋体" w:eastAsia="宋体" w:cs="宋体"/>
          <w:b/>
          <w:color w:val="auto"/>
          <w:sz w:val="21"/>
          <w:szCs w:val="21"/>
          <w:highlight w:val="none"/>
        </w:rPr>
      </w:pPr>
      <w:bookmarkStart w:id="0" w:name="_Toc189304247"/>
      <w:bookmarkStart w:id="1" w:name="_Toc443398736"/>
      <w:bookmarkStart w:id="2" w:name="_Toc188069329"/>
      <w:bookmarkStart w:id="3" w:name="_Toc183445810"/>
      <w:bookmarkStart w:id="4" w:name="_Toc443398745"/>
      <w:r>
        <w:rPr>
          <w:rFonts w:hint="eastAsia" w:ascii="宋体" w:hAnsi="宋体" w:eastAsia="宋体" w:cs="宋体"/>
          <w:b/>
          <w:color w:val="auto"/>
          <w:sz w:val="21"/>
          <w:szCs w:val="21"/>
          <w:highlight w:val="none"/>
        </w:rPr>
        <w:t>1、设备参数</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根据环评要求，本</w:t>
      </w:r>
      <w:r>
        <w:rPr>
          <w:rFonts w:hint="eastAsia" w:ascii="宋体" w:hAnsi="宋体" w:eastAsia="宋体" w:cs="宋体"/>
          <w:color w:val="auto"/>
          <w:sz w:val="21"/>
          <w:szCs w:val="21"/>
          <w:highlight w:val="none"/>
          <w:lang w:val="en-US" w:eastAsia="zh-CN"/>
        </w:rPr>
        <w:t>次采购的</w:t>
      </w:r>
      <w:r>
        <w:rPr>
          <w:rFonts w:hint="eastAsia" w:ascii="宋体" w:hAnsi="宋体" w:eastAsia="宋体" w:cs="宋体"/>
          <w:color w:val="auto"/>
          <w:sz w:val="21"/>
          <w:szCs w:val="21"/>
          <w:highlight w:val="none"/>
          <w:lang w:eastAsia="zh-CN"/>
        </w:rPr>
        <w:t>系统应包括：贵金属AB热解焚烧炉系统、二燃室系统、余热回收系统、急冷系统、烟气处理系统、自控仪表/电气系统、在线监测系统（在线监测不在本次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范围内）、其</w:t>
      </w:r>
      <w:r>
        <w:rPr>
          <w:rFonts w:hint="eastAsia" w:ascii="宋体" w:hAnsi="宋体" w:eastAsia="宋体" w:cs="宋体"/>
          <w:color w:val="auto"/>
          <w:sz w:val="21"/>
          <w:szCs w:val="21"/>
          <w:highlight w:val="none"/>
          <w:lang w:val="en-US" w:eastAsia="zh-CN"/>
        </w:rPr>
        <w:t>它</w:t>
      </w:r>
      <w:r>
        <w:rPr>
          <w:rFonts w:hint="eastAsia" w:ascii="宋体" w:hAnsi="宋体" w:eastAsia="宋体" w:cs="宋体"/>
          <w:color w:val="auto"/>
          <w:sz w:val="21"/>
          <w:szCs w:val="21"/>
          <w:highlight w:val="none"/>
          <w:lang w:eastAsia="zh-CN"/>
        </w:rPr>
        <w:t>包括烟风系统、压缩空气系统、灰渣输送系统。设计系统处理量为500kg/炉，焚烧量为每天4炉。</w:t>
      </w:r>
    </w:p>
    <w:p>
      <w:pPr>
        <w:pStyle w:val="3"/>
        <w:pageBreakBefore w:val="0"/>
        <w:widowControl w:val="0"/>
        <w:kinsoku/>
        <w:wordWrap/>
        <w:overflowPunct/>
        <w:topLinePunct w:val="0"/>
        <w:autoSpaceDE/>
        <w:autoSpaceDN/>
        <w:bidi w:val="0"/>
        <w:adjustRightInd/>
        <w:snapToGrid/>
        <w:spacing w:after="0" w:afterLines="0" w:line="500" w:lineRule="exact"/>
        <w:ind w:left="0" w:firstLine="422" w:firstLineChars="200"/>
        <w:textAlignment w:val="auto"/>
        <w:outlineLvl w:val="2"/>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2、工艺流程</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项目主要工艺流程为：AB热解焚烧炉→二燃室→余热锅炉→急冷塔→活性炭喷吹装置→袋式除尘器→引风机→双级湿法脱酸塔→烟囱</w:t>
      </w:r>
    </w:p>
    <w:p>
      <w:pPr>
        <w:pStyle w:val="3"/>
        <w:pageBreakBefore w:val="0"/>
        <w:widowControl w:val="0"/>
        <w:kinsoku/>
        <w:wordWrap/>
        <w:overflowPunct/>
        <w:topLinePunct w:val="0"/>
        <w:autoSpaceDE/>
        <w:autoSpaceDN/>
        <w:bidi w:val="0"/>
        <w:adjustRightInd/>
        <w:snapToGrid/>
        <w:spacing w:after="0" w:afterLines="0" w:line="500" w:lineRule="exact"/>
        <w:ind w:left="0" w:firstLine="422" w:firstLineChars="200"/>
        <w:textAlignment w:val="auto"/>
        <w:outlineLvl w:val="2"/>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3、界面划分</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项目区域范围如下文所述，投标人应对工程范围内的所有工艺设备、管道、平台栏杆等设备进行设计、制造、安装及调试，以达到</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负责将工程的给水管、供电等接口接至安装范围外1m。具体工程界面如下表：</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系统从热解焚烧炉始至烟囱止（不包含CEMS在线监测系统），包含系统所需配管、配罐、配件、管路、仪表阀门。</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活性炭系统：自活性炭加料口始至反应器入口止。</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出灰至出灰箱止。</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空压站系统自</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 xml:space="preserve">压缩空气站母管始到各用气点。 </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软水系统自软水机组进水点始，至各用水点。</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脱酸碱液废盐水外排及处理由甲方负责。</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配电由乙方提供的焚烧线低压成套柜出线始到焚烧设备各用电点。</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系统</w:t>
      </w:r>
      <w:r>
        <w:rPr>
          <w:rFonts w:hint="eastAsia" w:ascii="宋体" w:hAnsi="宋体" w:eastAsia="宋体" w:cs="宋体"/>
          <w:strike w:val="0"/>
          <w:dstrike w:val="0"/>
          <w:color w:val="auto"/>
          <w:sz w:val="21"/>
          <w:szCs w:val="21"/>
          <w:highlight w:val="none"/>
          <w:lang w:val="en-US" w:eastAsia="zh-CN"/>
        </w:rPr>
        <w:t>的</w:t>
      </w:r>
      <w:r>
        <w:rPr>
          <w:rFonts w:hint="eastAsia" w:ascii="宋体" w:hAnsi="宋体" w:eastAsia="宋体" w:cs="宋体"/>
          <w:strike w:val="0"/>
          <w:dstrike w:val="0"/>
          <w:color w:val="auto"/>
          <w:sz w:val="21"/>
          <w:szCs w:val="21"/>
          <w:highlight w:val="none"/>
        </w:rPr>
        <w:t>土建</w:t>
      </w:r>
      <w:r>
        <w:rPr>
          <w:rFonts w:hint="eastAsia" w:ascii="宋体" w:hAnsi="宋体" w:eastAsia="宋体" w:cs="宋体"/>
          <w:strike w:val="0"/>
          <w:dstrike w:val="0"/>
          <w:color w:val="auto"/>
          <w:sz w:val="21"/>
          <w:szCs w:val="21"/>
          <w:highlight w:val="none"/>
          <w:lang w:val="en-US" w:eastAsia="zh-CN"/>
        </w:rPr>
        <w:t>设计图纸及</w:t>
      </w:r>
      <w:r>
        <w:rPr>
          <w:rFonts w:hint="eastAsia" w:ascii="宋体" w:hAnsi="宋体" w:eastAsia="宋体" w:cs="宋体"/>
          <w:strike w:val="0"/>
          <w:dstrike w:val="0"/>
          <w:color w:val="auto"/>
          <w:sz w:val="21"/>
          <w:szCs w:val="21"/>
          <w:highlight w:val="none"/>
        </w:rPr>
        <w:t>工程由</w:t>
      </w:r>
      <w:r>
        <w:rPr>
          <w:rFonts w:hint="eastAsia" w:ascii="宋体" w:hAnsi="宋体" w:eastAsia="宋体" w:cs="宋体"/>
          <w:strike w:val="0"/>
          <w:dstrike w:val="0"/>
          <w:color w:val="auto"/>
          <w:sz w:val="21"/>
          <w:szCs w:val="21"/>
          <w:highlight w:val="none"/>
          <w:lang w:val="en-US" w:eastAsia="zh-CN"/>
        </w:rPr>
        <w:t>中标人</w:t>
      </w:r>
      <w:r>
        <w:rPr>
          <w:rFonts w:hint="eastAsia" w:ascii="宋体" w:hAnsi="宋体" w:eastAsia="宋体" w:cs="宋体"/>
          <w:strike w:val="0"/>
          <w:dstrike w:val="0"/>
          <w:color w:val="auto"/>
          <w:sz w:val="21"/>
          <w:szCs w:val="21"/>
          <w:highlight w:val="none"/>
        </w:rPr>
        <w:t>负责。</w:t>
      </w:r>
    </w:p>
    <w:p>
      <w:pPr>
        <w:pageBreakBefore w:val="0"/>
        <w:widowControl w:val="0"/>
        <w:numPr>
          <w:ilvl w:val="0"/>
          <w:numId w:val="1"/>
        </w:numPr>
        <w:tabs>
          <w:tab w:val="left" w:pos="284"/>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项目安装调试试运行期间，水、电、辅助燃料、消石灰活性炭等消耗品由</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w:t>
      </w:r>
    </w:p>
    <w:p>
      <w:pPr>
        <w:pStyle w:val="3"/>
        <w:pageBreakBefore w:val="0"/>
        <w:widowControl w:val="0"/>
        <w:kinsoku/>
        <w:wordWrap/>
        <w:overflowPunct/>
        <w:topLinePunct w:val="0"/>
        <w:autoSpaceDE/>
        <w:autoSpaceDN/>
        <w:bidi w:val="0"/>
        <w:adjustRightInd/>
        <w:snapToGrid/>
        <w:spacing w:after="0" w:afterLines="0" w:line="500" w:lineRule="exact"/>
        <w:ind w:left="0" w:firstLine="422" w:firstLineChars="200"/>
        <w:textAlignment w:val="auto"/>
        <w:outlineLvl w:val="2"/>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3.1建设总体要求和原则</w:t>
      </w:r>
    </w:p>
    <w:p>
      <w:pPr>
        <w:pStyle w:val="3"/>
        <w:pageBreakBefore w:val="0"/>
        <w:widowControl w:val="0"/>
        <w:kinsoku/>
        <w:wordWrap/>
        <w:overflowPunct/>
        <w:topLinePunct w:val="0"/>
        <w:autoSpaceDE/>
        <w:autoSpaceDN/>
        <w:bidi w:val="0"/>
        <w:adjustRightInd/>
        <w:snapToGrid/>
        <w:spacing w:after="0" w:afterLines="0" w:line="500" w:lineRule="exact"/>
        <w:ind w:left="0" w:firstLine="422" w:firstLineChars="200"/>
        <w:textAlignment w:val="auto"/>
        <w:outlineLvl w:val="2"/>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3.2工作内容</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工作内容包括但不限于尾气净化系统工艺设计、设备和材料供货、备品备件供货、安装、调试、技术服务等工作，这些工作具体包括但不限于：</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（1）工程范围：</w:t>
      </w:r>
    </w:p>
    <w:p>
      <w:pPr>
        <w:pStyle w:val="3"/>
        <w:pageBreakBefore w:val="0"/>
        <w:widowControl w:val="0"/>
        <w:numPr>
          <w:ilvl w:val="0"/>
          <w:numId w:val="0"/>
        </w:numPr>
        <w:kinsoku/>
        <w:wordWrap/>
        <w:overflowPunct/>
        <w:topLinePunct w:val="0"/>
        <w:autoSpaceDE/>
        <w:autoSpaceDN/>
        <w:bidi w:val="0"/>
        <w:adjustRightInd/>
        <w:snapToGrid/>
        <w:spacing w:after="0" w:afterLines="0" w:line="500" w:lineRule="exact"/>
        <w:ind w:firstLine="630" w:firstLineChars="3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负责</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内容的工艺设计、设备和材料设计、供配电设计、仪表、自控系统设计、</w:t>
      </w:r>
      <w:r>
        <w:rPr>
          <w:rFonts w:hint="eastAsia" w:ascii="宋体" w:hAnsi="宋体" w:eastAsia="宋体" w:cs="宋体"/>
          <w:strike w:val="0"/>
          <w:dstrike w:val="0"/>
          <w:color w:val="auto"/>
          <w:sz w:val="21"/>
          <w:szCs w:val="21"/>
          <w:highlight w:val="none"/>
          <w:lang w:eastAsia="zh-CN"/>
        </w:rPr>
        <w:t>土建</w:t>
      </w:r>
      <w:r>
        <w:rPr>
          <w:rFonts w:hint="eastAsia" w:ascii="宋体" w:hAnsi="宋体" w:eastAsia="宋体" w:cs="宋体"/>
          <w:color w:val="auto"/>
          <w:sz w:val="21"/>
          <w:szCs w:val="21"/>
          <w:highlight w:val="none"/>
          <w:lang w:eastAsia="zh-CN"/>
        </w:rPr>
        <w:t>设计。</w:t>
      </w:r>
    </w:p>
    <w:p>
      <w:pPr>
        <w:pStyle w:val="3"/>
        <w:pageBreakBefore w:val="0"/>
        <w:widowControl w:val="0"/>
        <w:numPr>
          <w:ilvl w:val="0"/>
          <w:numId w:val="0"/>
        </w:numPr>
        <w:kinsoku/>
        <w:wordWrap/>
        <w:overflowPunct/>
        <w:topLinePunct w:val="0"/>
        <w:autoSpaceDE/>
        <w:autoSpaceDN/>
        <w:bidi w:val="0"/>
        <w:adjustRightInd/>
        <w:snapToGrid/>
        <w:spacing w:after="0" w:afterLines="0" w:line="500" w:lineRule="exact"/>
        <w:ind w:left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★投标人应按合同进度要求，及时向采购人提供设计资料。</w:t>
      </w:r>
    </w:p>
    <w:p>
      <w:pPr>
        <w:pStyle w:val="3"/>
        <w:pageBreakBefore w:val="0"/>
        <w:widowControl w:val="0"/>
        <w:numPr>
          <w:ilvl w:val="0"/>
          <w:numId w:val="0"/>
        </w:numPr>
        <w:kinsoku/>
        <w:wordWrap/>
        <w:overflowPunct/>
        <w:topLinePunct w:val="0"/>
        <w:autoSpaceDE/>
        <w:autoSpaceDN/>
        <w:bidi w:val="0"/>
        <w:adjustRightInd/>
        <w:snapToGrid/>
        <w:spacing w:after="0" w:afterLines="0" w:line="500" w:lineRule="exact"/>
        <w:ind w:left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★如采购人</w:t>
      </w:r>
      <w:r>
        <w:rPr>
          <w:rFonts w:hint="eastAsia" w:ascii="宋体" w:hAnsi="宋体" w:eastAsia="宋体" w:cs="宋体"/>
          <w:color w:val="auto"/>
          <w:sz w:val="21"/>
          <w:szCs w:val="21"/>
          <w:highlight w:val="none"/>
          <w:lang w:val="en-US" w:eastAsia="zh-CN"/>
        </w:rPr>
        <w:t>有其它设计</w:t>
      </w:r>
      <w:r>
        <w:rPr>
          <w:rFonts w:hint="eastAsia" w:ascii="宋体" w:hAnsi="宋体" w:eastAsia="宋体" w:cs="宋体"/>
          <w:color w:val="auto"/>
          <w:sz w:val="21"/>
          <w:szCs w:val="21"/>
          <w:highlight w:val="none"/>
          <w:lang w:eastAsia="zh-CN"/>
        </w:rPr>
        <w:t>要求，投标人应配合进行相关设计工作。</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（2）设备和材料供货范围</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设备是指机械、电气、仪表、监控、附属设施及维修设施等。供货范围包括本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文件给出的各处理系统设备，以及虽然本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文件未给出或未明确、但应属于</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为实现性能保证而需包含的设备。</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材料是指检修平台、钢结构支架、栏杆和钢制楼梯、通道、各种管线、支架、补偿器、阀门、仪表、电缆、桥架、法兰、密封件、连接附件、防雷接地材料、紧固螺栓、保温和伴热材料、砌筑材料等。供货范围包括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文件给出的各处理系统材料，以及虽然本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文件未给出或未明确、但应属于投标人为实现性能保证而需包含的材料。</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（3）安装</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安装是指对投标人供货设备和材料的安装。</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（4）单机调试</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单机调试是指对每套合同设备进行冷态单机调试验收。</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（5）性能验收试验</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性能验收试验是指尾气净化系统建成后连续168小时热态联动调试。调试是针对整套尾气处理系统的，包括但不限于投标人供货的设备和材料。投标人应在调试后对系统缺陷进行修复。验收合格后签署调试合格证书，验收不合格按合同条款执行。</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（8）服务</w:t>
      </w:r>
    </w:p>
    <w:p>
      <w:pPr>
        <w:pStyle w:val="3"/>
        <w:pageBreakBefore w:val="0"/>
        <w:widowControl w:val="0"/>
        <w:kinsoku/>
        <w:wordWrap/>
        <w:overflowPunct/>
        <w:topLinePunct w:val="0"/>
        <w:autoSpaceDE/>
        <w:autoSpaceDN/>
        <w:bidi w:val="0"/>
        <w:adjustRightInd/>
        <w:snapToGrid/>
        <w:spacing w:after="0" w:afterLines="0" w:line="500" w:lineRule="exact"/>
        <w:ind w:left="0" w:firstLine="420" w:firstLineChars="200"/>
        <w:textAlignment w:val="auto"/>
        <w:outlineLvl w:val="2"/>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eastAsia="zh-CN"/>
        </w:rPr>
        <w:t>服务包括但不限于：协助采购人办理相关手续、</w:t>
      </w:r>
      <w:bookmarkStart w:id="5" w:name="_Toc516498151"/>
      <w:bookmarkStart w:id="6" w:name="_Toc60026437"/>
      <w:bookmarkStart w:id="7" w:name="_Toc177054157"/>
      <w:bookmarkStart w:id="8" w:name="_Toc516413151"/>
      <w:bookmarkStart w:id="9" w:name="_Toc516412791"/>
      <w:r>
        <w:rPr>
          <w:rFonts w:hint="eastAsia" w:ascii="宋体" w:hAnsi="宋体" w:eastAsia="宋体" w:cs="宋体"/>
          <w:color w:val="auto"/>
          <w:sz w:val="21"/>
          <w:szCs w:val="21"/>
          <w:highlight w:val="none"/>
          <w:lang w:eastAsia="zh-CN"/>
        </w:rPr>
        <w:t>人员培训</w:t>
      </w:r>
      <w:bookmarkEnd w:id="5"/>
      <w:bookmarkEnd w:id="6"/>
      <w:bookmarkEnd w:id="7"/>
      <w:bookmarkEnd w:id="8"/>
      <w:bookmarkEnd w:id="9"/>
      <w:r>
        <w:rPr>
          <w:rFonts w:hint="eastAsia" w:ascii="宋体" w:hAnsi="宋体" w:eastAsia="宋体" w:cs="宋体"/>
          <w:color w:val="auto"/>
          <w:sz w:val="21"/>
          <w:szCs w:val="21"/>
          <w:highlight w:val="none"/>
          <w:lang w:eastAsia="zh-CN"/>
        </w:rPr>
        <w:t>、设计服务、配合采购人项目管理服务等。</w:t>
      </w:r>
    </w:p>
    <w:p>
      <w:pPr>
        <w:pStyle w:val="3"/>
        <w:pageBreakBefore w:val="0"/>
        <w:widowControl w:val="0"/>
        <w:kinsoku/>
        <w:wordWrap/>
        <w:overflowPunct/>
        <w:topLinePunct w:val="0"/>
        <w:autoSpaceDE/>
        <w:autoSpaceDN/>
        <w:bidi w:val="0"/>
        <w:adjustRightInd/>
        <w:snapToGrid/>
        <w:spacing w:after="0" w:afterLines="0" w:line="500" w:lineRule="exact"/>
        <w:ind w:left="0" w:firstLine="422" w:firstLineChars="200"/>
        <w:textAlignment w:val="auto"/>
        <w:outlineLvl w:val="2"/>
        <w:rPr>
          <w:rFonts w:hint="eastAsia" w:ascii="宋体" w:hAnsi="宋体" w:eastAsia="宋体" w:cs="宋体"/>
          <w:b/>
          <w:color w:val="auto"/>
          <w:sz w:val="21"/>
          <w:szCs w:val="21"/>
          <w:highlight w:val="none"/>
          <w:lang w:eastAsia="zh-CN"/>
        </w:rPr>
      </w:pPr>
      <w:bookmarkStart w:id="10" w:name="_Toc443398738"/>
      <w:r>
        <w:rPr>
          <w:rFonts w:hint="eastAsia" w:ascii="宋体" w:hAnsi="宋体" w:eastAsia="宋体" w:cs="宋体"/>
          <w:b/>
          <w:color w:val="auto"/>
          <w:sz w:val="21"/>
          <w:szCs w:val="21"/>
          <w:highlight w:val="none"/>
          <w:lang w:eastAsia="zh-CN"/>
        </w:rPr>
        <w:t>3.4采购设备要求</w:t>
      </w:r>
      <w:bookmarkEnd w:id="10"/>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项目主要工艺流程为：</w:t>
      </w:r>
      <w:r>
        <w:rPr>
          <w:rFonts w:hint="eastAsia" w:ascii="宋体" w:hAnsi="宋体" w:eastAsia="宋体" w:cs="宋体"/>
          <w:b/>
          <w:color w:val="auto"/>
          <w:sz w:val="21"/>
          <w:szCs w:val="21"/>
          <w:highlight w:val="none"/>
          <w:u w:val="single"/>
        </w:rPr>
        <w:t>AB热解焚烧炉→二燃室→余热锅炉→急冷塔→活性炭喷吹装置→袋式除尘器→引风机→双级湿法脱酸塔→烟囱</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设备要求阐述如下：</w:t>
      </w:r>
    </w:p>
    <w:p>
      <w:pPr>
        <w:pageBreakBefore w:val="0"/>
        <w:widowControl w:val="0"/>
        <w:numPr>
          <w:ilvl w:val="0"/>
          <w:numId w:val="2"/>
        </w:numPr>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AB热解焚烧炉</w:t>
      </w:r>
    </w:p>
    <w:p>
      <w:pPr>
        <w:pStyle w:val="9"/>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lang w:eastAsia="zh-CN"/>
        </w:rPr>
        <w:t>热解炉参数要求如下：</w:t>
      </w:r>
    </w:p>
    <w:p>
      <w:pPr>
        <w:pStyle w:val="9"/>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lang w:eastAsia="zh-CN"/>
        </w:rPr>
        <w:t xml:space="preserve"> 单台热解炉有效容积：≥9m³</w:t>
      </w:r>
    </w:p>
    <w:p>
      <w:pPr>
        <w:pStyle w:val="9"/>
        <w:pageBreakBefore w:val="0"/>
        <w:widowControl w:val="0"/>
        <w:kinsoku/>
        <w:wordWrap/>
        <w:overflowPunct/>
        <w:topLinePunct w:val="0"/>
        <w:autoSpaceDE/>
        <w:autoSpaceDN/>
        <w:bidi w:val="0"/>
        <w:adjustRightInd/>
        <w:snapToGrid/>
        <w:spacing w:line="500" w:lineRule="exact"/>
        <w:ind w:left="0" w:firstLine="404"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处理能力：~500公斤/炉，每天处理4炉；</w:t>
      </w:r>
    </w:p>
    <w:p>
      <w:pPr>
        <w:pStyle w:val="9"/>
        <w:pageBreakBefore w:val="0"/>
        <w:widowControl w:val="0"/>
        <w:kinsoku/>
        <w:wordWrap/>
        <w:overflowPunct/>
        <w:topLinePunct w:val="0"/>
        <w:autoSpaceDE/>
        <w:autoSpaceDN/>
        <w:bidi w:val="0"/>
        <w:adjustRightInd/>
        <w:snapToGrid/>
        <w:spacing w:line="500" w:lineRule="exact"/>
        <w:ind w:left="0" w:firstLine="404" w:firstLineChars="200"/>
        <w:textAlignment w:val="auto"/>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z w:val="21"/>
          <w:szCs w:val="21"/>
          <w:highlight w:val="none"/>
          <w:lang w:eastAsia="zh-CN"/>
        </w:rPr>
        <w:t>运行方式：</w:t>
      </w:r>
      <w:r>
        <w:rPr>
          <w:rFonts w:hint="eastAsia" w:ascii="宋体" w:hAnsi="宋体" w:eastAsia="宋体" w:cs="宋体"/>
          <w:color w:val="auto"/>
          <w:spacing w:val="0"/>
          <w:sz w:val="21"/>
          <w:szCs w:val="21"/>
          <w:highlight w:val="none"/>
          <w:lang w:eastAsia="zh-CN"/>
        </w:rPr>
        <w:t>AB炉交替、</w:t>
      </w:r>
      <w:r>
        <w:rPr>
          <w:rFonts w:hint="eastAsia" w:ascii="宋体" w:hAnsi="宋体" w:eastAsia="宋体" w:cs="宋体"/>
          <w:color w:val="auto"/>
          <w:sz w:val="21"/>
          <w:szCs w:val="21"/>
          <w:highlight w:val="none"/>
          <w:lang w:eastAsia="zh-CN"/>
        </w:rPr>
        <w:t>连续运行；</w:t>
      </w:r>
    </w:p>
    <w:p>
      <w:pPr>
        <w:pStyle w:val="9"/>
        <w:pageBreakBefore w:val="0"/>
        <w:widowControl w:val="0"/>
        <w:kinsoku/>
        <w:wordWrap/>
        <w:overflowPunct/>
        <w:topLinePunct w:val="0"/>
        <w:autoSpaceDE/>
        <w:autoSpaceDN/>
        <w:bidi w:val="0"/>
        <w:adjustRightInd/>
        <w:snapToGrid/>
        <w:spacing w:line="500" w:lineRule="exact"/>
        <w:ind w:left="0" w:firstLine="404"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热解炉内温度：600℃~700℃；</w:t>
      </w:r>
    </w:p>
    <w:p>
      <w:pPr>
        <w:pStyle w:val="9"/>
        <w:pageBreakBefore w:val="0"/>
        <w:widowControl w:val="0"/>
        <w:kinsoku/>
        <w:wordWrap/>
        <w:overflowPunct/>
        <w:topLinePunct w:val="0"/>
        <w:autoSpaceDE/>
        <w:autoSpaceDN/>
        <w:bidi w:val="0"/>
        <w:adjustRightInd/>
        <w:snapToGrid/>
        <w:spacing w:line="500" w:lineRule="exact"/>
        <w:ind w:left="0" w:firstLine="404"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热解炉天然气用量：10~90m³/h（单炉设置3台燃烧器，单台耗气量~30m³/h）；</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2）二燃室：二燃室应考虑热解炉烟气的混合均匀性，设置单独二次风供风，需保证焚烧烟气在高于1100℃温度下停留时间不小于2.0秒。确保燃烧效率≥99.9%，焚毁去除率≥99.99%。</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二燃室应设置有助燃燃烧器，在二燃室温度不够时打开燃烧器助燃，燃烧器应为比例调解式。</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二燃室紧急排放阀应明确其启动方式，保证在突发状况时候（超压，停电等）能够自动或手动启动。</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二燃室内衬耐材，单边耐材厚度≥300mm，耐火层应使用刚玉浇注料（Al2O3≥83%）。</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3）余热锅炉：余热锅炉应充分考虑耐堵塞性和易清灰性，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在设计时应考虑工况情况下锅炉的防腐、耐堵塞要求，锅炉出口烟气温度应为500~600℃。锅炉蒸汽参数1.3MPa饱和蒸汽。</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急冷塔：急冷塔外壳为钢制，内部耐腐蚀浇注料处理，配套急冷控制系统，确保烟气在1S钟之内由550℃降低至200℃以内，确保急冷塔排放烟气温度稳定在180-200℃之间。急冷塔应使用稳定可靠的雾化喷枪（喷枪需使用斯普瑞、雾的池内等进口品牌）及水量调节系统。急冷塔不能发生滴水、湿壁等情况，无废水产生。</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石灰干法脱酸系统：急冷塔后设置干式反应塔，喷射消石灰，要求消石灰可以称重计量，并可以控制出料量。石灰仓及石灰送料机构应设计保温与电加热，防止消石灰吸潮板结。石灰输送机构应有避免堵塞的机构及措施，确保系统应连续稳定运行。</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）活性炭喷射系统：于干法脱酸塔处设置活性炭喷射点，要求活性炭可以称重计量，并可以控制出料量，活性炭投料系统应连续稳定运行。</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）袋式除尘器：袋式除尘器采用在线脉冲淸灰方式，滤袋材质PTFE+PTFE覆膜，笼骨应有机硅防腐涂层，布袋除尘器壳体内部应衬耐腐蚀防腐层。</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袋式除尘器外设硅酸铝纤维棉保温，袋式除尘器内部应设置合理结构，防止内部灰斗温度过低而结露、堵灰。</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）双级湿式脱酸塔系统：应设计两级湿法脱酸塔系统，两级脱酸塔材质均为耐高温FRP材质（耐温180℃以上）,保证脱酸效率≥98%。</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脱酸塔应充分考虑其内部结构，在保证脱酸效率的同时避免结晶堵塞。</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脱酸塔循环泵应考虑其耐腐蚀性，循环管路应充分考虑其耐温、耐压、耐腐蚀性。</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一级脱酸塔为顺流式脱酸塔，二级脱酸塔为逆流式脱酸塔并设置双层除雾器。</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）SGH烟气加热器，系统应于双级湿法脱酸塔后预留SGH烟气加热器，并考虑其结构形式与材质。</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）引风机：根据投标人计算以及系统设备阻力情况，设计引风机，引风机叶轮及蜗壳材质应为316L，电机应采用西门子变频电机。</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）烟囱：烟囱材质为耐高温FRP（耐温180℃以上），外设保护架，投标人应考虑烟气流速。</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）公用工程：</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根据投标人计算以及系统设备阻力情况，投标人应提出压缩空气的用量和要求。</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w:t>
      </w:r>
      <w:r>
        <w:rPr>
          <w:rFonts w:hint="eastAsia" w:ascii="宋体" w:hAnsi="宋体" w:eastAsia="宋体" w:cs="宋体"/>
          <w:color w:val="auto"/>
          <w:sz w:val="21"/>
          <w:szCs w:val="21"/>
          <w:highlight w:val="none"/>
        </w:rPr>
        <w:t>投标人计算以及系统设备阻力情况，投标人应提供软水制备系统。软水器应使用阳离子树脂交换式双罐软水器。</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）电气和仪表控制：系统应使用控制系统，并根据工艺要求配置相应仪表。</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投标人可根据自身经验和技术特点，对建设要求提出完善和合理化建议，并在投标技术文件中阐述。</w:t>
      </w:r>
    </w:p>
    <w:p>
      <w:pPr>
        <w:pStyle w:val="4"/>
        <w:pageBreakBefore w:val="0"/>
        <w:widowControl w:val="0"/>
        <w:kinsoku/>
        <w:wordWrap/>
        <w:overflowPunct/>
        <w:topLinePunct w:val="0"/>
        <w:autoSpaceDE/>
        <w:autoSpaceDN/>
        <w:bidi w:val="0"/>
        <w:adjustRightInd/>
        <w:snapToGrid/>
        <w:spacing w:before="0" w:beforeLines="0" w:after="0" w:afterLines="0" w:line="500" w:lineRule="exact"/>
        <w:ind w:lef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val="en-US" w:eastAsia="zh-CN"/>
        </w:rPr>
        <w:t>中标人</w:t>
      </w:r>
      <w:r>
        <w:rPr>
          <w:rFonts w:hint="eastAsia" w:ascii="宋体" w:hAnsi="宋体" w:eastAsia="宋体" w:cs="宋体"/>
          <w:b/>
          <w:bCs/>
          <w:color w:val="auto"/>
          <w:sz w:val="21"/>
          <w:szCs w:val="21"/>
          <w:highlight w:val="none"/>
        </w:rPr>
        <w:t>技术文件交付</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strike w:val="0"/>
          <w:dstrike w:val="0"/>
          <w:color w:val="auto"/>
          <w:sz w:val="21"/>
          <w:szCs w:val="21"/>
          <w:highlight w:val="none"/>
          <w:lang w:eastAsia="zh-CN"/>
        </w:rPr>
        <w:t>土建</w:t>
      </w:r>
      <w:r>
        <w:rPr>
          <w:rFonts w:hint="eastAsia" w:ascii="宋体" w:hAnsi="宋体" w:eastAsia="宋体" w:cs="宋体"/>
          <w:color w:val="auto"/>
          <w:sz w:val="21"/>
          <w:szCs w:val="21"/>
          <w:highlight w:val="none"/>
        </w:rPr>
        <w:t>设计文件</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2）每套系统设计图纸应满足下列要求：</w:t>
      </w:r>
    </w:p>
    <w:p>
      <w:pPr>
        <w:pStyle w:val="9"/>
        <w:pageBreakBefore w:val="0"/>
        <w:widowControl w:val="0"/>
        <w:kinsoku/>
        <w:wordWrap/>
        <w:overflowPunct/>
        <w:topLinePunct w:val="0"/>
        <w:autoSpaceDE/>
        <w:autoSpaceDN/>
        <w:bidi w:val="0"/>
        <w:adjustRightInd/>
        <w:snapToGrid/>
        <w:spacing w:line="500" w:lineRule="exact"/>
        <w:ind w:left="0" w:firstLine="404"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交付时设计图应该包含 设备平立面布置图、单体设备图、电气原理图等，提供图纸应使用不低于CAD2007版本。</w:t>
      </w:r>
    </w:p>
    <w:p>
      <w:pPr>
        <w:pStyle w:val="4"/>
        <w:pageBreakBefore w:val="0"/>
        <w:widowControl w:val="0"/>
        <w:kinsoku/>
        <w:wordWrap/>
        <w:overflowPunct/>
        <w:topLinePunct w:val="0"/>
        <w:autoSpaceDE/>
        <w:autoSpaceDN/>
        <w:bidi w:val="0"/>
        <w:adjustRightInd/>
        <w:snapToGrid/>
        <w:spacing w:before="0" w:beforeLines="0" w:after="0" w:afterLines="0" w:line="500" w:lineRule="exact"/>
        <w:ind w:left="0" w:firstLine="422" w:firstLineChars="200"/>
        <w:jc w:val="both"/>
        <w:textAlignment w:val="auto"/>
        <w:rPr>
          <w:rFonts w:hint="eastAsia" w:ascii="宋体" w:hAnsi="宋体" w:eastAsia="宋体" w:cs="宋体"/>
          <w:color w:val="auto"/>
          <w:sz w:val="21"/>
          <w:szCs w:val="21"/>
          <w:highlight w:val="none"/>
        </w:rPr>
      </w:pPr>
      <w:bookmarkStart w:id="11" w:name="_Toc443398746"/>
      <w:bookmarkStart w:id="12" w:name="_Toc361998274"/>
      <w:r>
        <w:rPr>
          <w:rFonts w:hint="eastAsia" w:ascii="宋体" w:hAnsi="宋体" w:eastAsia="宋体" w:cs="宋体"/>
          <w:color w:val="auto"/>
          <w:sz w:val="21"/>
          <w:szCs w:val="21"/>
          <w:highlight w:val="none"/>
        </w:rPr>
        <w:t>5、操作和保养手册</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（1）总则</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投标人应提供所有机械设备的操作和保养手册，用于指导运营单位人员进行试验、试运转、操作和设备保养，这些手册包括设备说明手册、维修说明手册、操作说明手册和简明数据手册。手册应叙述的主要内容：</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设备技术说明；</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（2）设备说明手册</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（3）维修说明手册 </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（4）操作说明手册</w:t>
      </w:r>
    </w:p>
    <w:p>
      <w:pPr>
        <w:pageBreakBefore w:val="0"/>
        <w:widowControl w:val="0"/>
        <w:tabs>
          <w:tab w:val="left" w:pos="851"/>
        </w:tabs>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（5）简明数据手册</w:t>
      </w:r>
    </w:p>
    <w:p>
      <w:pPr>
        <w:pStyle w:val="4"/>
        <w:pageBreakBefore w:val="0"/>
        <w:widowControl w:val="0"/>
        <w:kinsoku/>
        <w:wordWrap/>
        <w:overflowPunct/>
        <w:topLinePunct w:val="0"/>
        <w:autoSpaceDE/>
        <w:autoSpaceDN/>
        <w:bidi w:val="0"/>
        <w:adjustRightInd/>
        <w:snapToGrid/>
        <w:spacing w:before="0" w:beforeLines="0" w:after="0" w:afterLines="0" w:line="500" w:lineRule="exact"/>
        <w:ind w:left="0" w:firstLine="422"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6、人员的培训</w:t>
      </w:r>
      <w:bookmarkEnd w:id="11"/>
      <w:bookmarkEnd w:id="12"/>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（1）熟悉设备及设施</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（2）演示和解释操作、保养手册</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（3）人员的要求</w:t>
      </w:r>
    </w:p>
    <w:p>
      <w:pPr>
        <w:pStyle w:val="4"/>
        <w:pageBreakBefore w:val="0"/>
        <w:widowControl w:val="0"/>
        <w:kinsoku/>
        <w:wordWrap/>
        <w:overflowPunct/>
        <w:topLinePunct w:val="0"/>
        <w:autoSpaceDE/>
        <w:autoSpaceDN/>
        <w:bidi w:val="0"/>
        <w:adjustRightInd/>
        <w:snapToGrid/>
        <w:spacing w:before="0" w:beforeLines="0" w:after="0" w:afterLines="0" w:line="500" w:lineRule="exact"/>
        <w:ind w:left="0" w:firstLine="422" w:firstLineChars="200"/>
        <w:jc w:val="both"/>
        <w:textAlignment w:val="auto"/>
        <w:rPr>
          <w:rFonts w:hint="eastAsia" w:ascii="宋体" w:hAnsi="宋体" w:eastAsia="宋体" w:cs="宋体"/>
          <w:color w:val="auto"/>
          <w:sz w:val="21"/>
          <w:szCs w:val="21"/>
          <w:highlight w:val="none"/>
        </w:rPr>
      </w:pPr>
      <w:bookmarkStart w:id="13" w:name="_Toc361998275"/>
      <w:bookmarkStart w:id="14" w:name="_Toc443398747"/>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、备品备件</w:t>
      </w:r>
      <w:bookmarkEnd w:id="13"/>
      <w:bookmarkEnd w:id="14"/>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1）备用件</w:t>
      </w:r>
    </w:p>
    <w:p>
      <w:pPr>
        <w:pStyle w:val="13"/>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2）必须的附件</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8、投标人应该详细列明贵金属焚烧炉系统工艺设备及主要材料表，包括但不限于：工艺设备清单、仪表设备清单、管道材料清单。</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9、推荐品牌要求：</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 水泵类:南方泵业、东方泵业、凯泉泵业同档次（或优于所列档次）品牌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（2）风机类：南通考利特、苏州顶裕、</w:t>
      </w:r>
      <w:r>
        <w:rPr>
          <w:rFonts w:hint="eastAsia" w:ascii="宋体" w:hAnsi="宋体" w:eastAsia="宋体" w:cs="宋体"/>
          <w:color w:val="auto"/>
          <w:kern w:val="2"/>
          <w:sz w:val="21"/>
          <w:szCs w:val="21"/>
          <w:highlight w:val="none"/>
          <w:lang w:val="en-US" w:eastAsia="zh-CN" w:bidi="ar-SA"/>
        </w:rPr>
        <w:t>宁波丹顿风机</w:t>
      </w:r>
      <w:r>
        <w:rPr>
          <w:rFonts w:hint="eastAsia" w:ascii="宋体" w:hAnsi="宋体" w:eastAsia="宋体" w:cs="宋体"/>
          <w:color w:val="auto"/>
          <w:kern w:val="2"/>
          <w:sz w:val="21"/>
          <w:szCs w:val="21"/>
          <w:highlight w:val="none"/>
          <w:lang w:val="en-US" w:eastAsia="zh-CN" w:bidi="ar-SA"/>
        </w:rPr>
        <w:t>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 自控系统：浙大中控、西门子、和利时同档次（或优于所列档次）品牌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 电气仪表:上自仪、常州佳盟、川仪</w:t>
      </w:r>
      <w:r>
        <w:rPr>
          <w:rFonts w:hint="eastAsia" w:ascii="宋体" w:hAnsi="宋体" w:eastAsia="宋体" w:cs="宋体"/>
          <w:color w:val="auto"/>
          <w:kern w:val="2"/>
          <w:sz w:val="21"/>
          <w:szCs w:val="21"/>
          <w:highlight w:val="none"/>
          <w:lang w:val="en-US" w:eastAsia="zh-CN" w:bidi="ar-SA"/>
        </w:rPr>
        <w:t>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（5）二燃室及除尘器等关键部位压力仪表：</w:t>
      </w:r>
      <w:r>
        <w:rPr>
          <w:rFonts w:hint="eastAsia" w:ascii="宋体" w:hAnsi="宋体" w:eastAsia="宋体" w:cs="宋体"/>
          <w:color w:val="auto"/>
          <w:kern w:val="2"/>
          <w:sz w:val="21"/>
          <w:szCs w:val="21"/>
          <w:highlight w:val="none"/>
          <w:lang w:val="en-US" w:eastAsia="zh-CN" w:bidi="ar-SA"/>
        </w:rPr>
        <w:t>EJA横、E+H、罗斯蒙特同档次（或优于所列档次）品牌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 喷枪：选用美国喷雾、斯普瑞或雾的池内品</w:t>
      </w:r>
      <w:r>
        <w:rPr>
          <w:rFonts w:hint="eastAsia" w:ascii="宋体" w:hAnsi="宋体" w:eastAsia="宋体" w:cs="宋体"/>
          <w:color w:val="auto"/>
          <w:kern w:val="2"/>
          <w:sz w:val="21"/>
          <w:szCs w:val="21"/>
          <w:highlight w:val="none"/>
          <w:lang w:val="en-US" w:eastAsia="zh-CN" w:bidi="ar-SA"/>
        </w:rPr>
        <w:t>同档次（或优于所列档次）品牌</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 变频器：选用ABB、三菱或西门子</w:t>
      </w:r>
      <w:r>
        <w:rPr>
          <w:rFonts w:hint="eastAsia" w:ascii="宋体" w:hAnsi="宋体" w:eastAsia="宋体" w:cs="宋体"/>
          <w:color w:val="auto"/>
          <w:kern w:val="2"/>
          <w:sz w:val="21"/>
          <w:szCs w:val="21"/>
          <w:highlight w:val="none"/>
          <w:lang w:val="en-US" w:eastAsia="zh-CN" w:bidi="ar-SA"/>
        </w:rPr>
        <w:t>同档次（或优于所列档次）品牌</w:t>
      </w:r>
    </w:p>
    <w:p>
      <w:pPr>
        <w:pageBreakBefore w:val="0"/>
        <w:widowControl w:val="0"/>
        <w:kinsoku/>
        <w:wordWrap/>
        <w:overflowPunct/>
        <w:topLinePunct w:val="0"/>
        <w:autoSpaceDE/>
        <w:autoSpaceDN/>
        <w:bidi w:val="0"/>
        <w:adjustRightInd/>
        <w:snapToGrid/>
        <w:spacing w:line="500" w:lineRule="exact"/>
        <w:ind w:left="0" w:firstLine="420"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strike w:val="0"/>
          <w:dstrike w:val="0"/>
          <w:color w:val="auto"/>
          <w:kern w:val="2"/>
          <w:sz w:val="21"/>
          <w:szCs w:val="21"/>
          <w:highlight w:val="none"/>
          <w:u w:val="none"/>
          <w:lang w:val="en-US" w:eastAsia="zh-CN" w:bidi="ar-SA"/>
        </w:rPr>
        <w:t>对于本次采购的推荐品牌，投标人应采用同档次（或优于所列档次）品牌。如投标人在编制投标报价</w:t>
      </w:r>
      <w:r>
        <w:rPr>
          <w:rFonts w:hint="eastAsia" w:ascii="宋体" w:hAnsi="宋体" w:eastAsia="宋体" w:cs="宋体"/>
          <w:b/>
          <w:bCs/>
          <w:strike w:val="0"/>
          <w:dstrike w:val="0"/>
          <w:color w:val="auto"/>
          <w:kern w:val="2"/>
          <w:sz w:val="21"/>
          <w:szCs w:val="21"/>
          <w:highlight w:val="none"/>
          <w:u w:val="none"/>
          <w:lang w:val="en-US" w:eastAsia="zh-CN" w:bidi="ar-SA"/>
        </w:rPr>
        <w:t>时选用的材料设备品牌是相当于</w:t>
      </w:r>
      <w:r>
        <w:rPr>
          <w:rFonts w:hint="eastAsia" w:ascii="宋体" w:hAnsi="宋体" w:eastAsia="宋体" w:cs="宋体"/>
          <w:b/>
          <w:bCs/>
          <w:strike w:val="0"/>
          <w:dstrike w:val="0"/>
          <w:color w:val="auto"/>
          <w:kern w:val="2"/>
          <w:sz w:val="21"/>
          <w:szCs w:val="21"/>
          <w:highlight w:val="none"/>
          <w:u w:val="none"/>
          <w:lang w:val="en-US" w:eastAsia="zh-CN" w:bidi="ar-SA"/>
        </w:rPr>
        <w:t>采购人</w:t>
      </w:r>
      <w:r>
        <w:rPr>
          <w:rFonts w:hint="eastAsia" w:ascii="宋体" w:hAnsi="宋体" w:eastAsia="宋体" w:cs="宋体"/>
          <w:b/>
          <w:bCs/>
          <w:strike w:val="0"/>
          <w:dstrike w:val="0"/>
          <w:color w:val="auto"/>
          <w:kern w:val="2"/>
          <w:sz w:val="21"/>
          <w:szCs w:val="21"/>
          <w:highlight w:val="none"/>
          <w:u w:val="none"/>
          <w:lang w:val="en-US" w:eastAsia="zh-CN" w:bidi="ar-SA"/>
        </w:rPr>
        <w:t>推荐的材料设备品牌档次或以上的品牌，在签订合同时应提供相关证明材料。如中标人不能提供相关证明材料，则采购人有权要求中标人更换在编制投标报价时选择的材料设备品牌，并且费用不予增加。</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b/>
          <w:bCs/>
          <w:strike w:val="0"/>
          <w:dstrike w:val="0"/>
          <w:color w:val="auto"/>
          <w:kern w:val="2"/>
          <w:sz w:val="21"/>
          <w:szCs w:val="21"/>
          <w:highlight w:val="none"/>
          <w:u w:val="none"/>
          <w:lang w:val="en-US" w:eastAsia="zh-CN" w:bidi="ar-SA"/>
        </w:rPr>
        <w:t>本项目所需设备、材料的最终选型须中标人与采购人共同选定，采购人同意后方可实施采购。如果中标人所报设备、材料品牌是推荐表中的品牌，但是在项目实际施工改造中，采购人经过考察研究，前期推荐设备材料品牌不合理或不满足使用要求，则采购人有权对投标人所报设备、材料品牌进行调整，并更换为采购人要求的设备、材料品牌，且价格不作调整。此外，在项目实际进行中发生非投标人原因需变更推荐设备材料品牌，如涉及性能和品牌档次下降，需报送采购人审批同意，且采购人有权扣除相应差额费用。</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b/>
          <w:bCs/>
          <w:strike w:val="0"/>
          <w:dstrike w:val="0"/>
          <w:color w:val="auto"/>
          <w:kern w:val="2"/>
          <w:sz w:val="21"/>
          <w:szCs w:val="21"/>
          <w:highlight w:val="none"/>
          <w:u w:val="none"/>
          <w:lang w:val="en-US" w:eastAsia="zh-CN" w:bidi="ar-SA"/>
        </w:rPr>
        <w:t>注：</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b/>
          <w:bCs/>
          <w:strike w:val="0"/>
          <w:dstrike w:val="0"/>
          <w:color w:val="auto"/>
          <w:kern w:val="2"/>
          <w:sz w:val="21"/>
          <w:szCs w:val="21"/>
          <w:highlight w:val="none"/>
          <w:u w:val="none"/>
          <w:lang w:val="en-US" w:eastAsia="zh-CN" w:bidi="ar-SA"/>
        </w:rPr>
        <w:t>1）主要设备必须明确所用品牌，如所用品牌不在参考品牌清单中，需额外提供技术偏离说明，并提供所用偏离品牌属于同等级别的证明，并保证性能。</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b/>
          <w:bCs/>
          <w:strike w:val="0"/>
          <w:dstrike w:val="0"/>
          <w:color w:val="auto"/>
          <w:kern w:val="2"/>
          <w:sz w:val="21"/>
          <w:szCs w:val="21"/>
          <w:highlight w:val="none"/>
          <w:u w:val="none"/>
          <w:lang w:val="en-US" w:eastAsia="zh-CN" w:bidi="ar-SA"/>
        </w:rPr>
        <w:t>2）未提及的设备，如采购人认为对系统设计和运行有影响的，有权参与品牌和供应商的比选和确定，但不排除投标人承担性能保证的责任。</w:t>
      </w:r>
    </w:p>
    <w:p>
      <w:pPr>
        <w:pageBreakBefore w:val="0"/>
        <w:widowControl w:val="0"/>
        <w:kinsoku/>
        <w:wordWrap/>
        <w:overflowPunct/>
        <w:topLinePunct w:val="0"/>
        <w:autoSpaceDE/>
        <w:autoSpaceDN/>
        <w:bidi w:val="0"/>
        <w:adjustRightInd/>
        <w:snapToGrid/>
        <w:spacing w:line="500" w:lineRule="exact"/>
        <w:ind w:left="0" w:firstLine="422" w:firstLineChars="200"/>
        <w:textAlignment w:val="auto"/>
        <w:rPr>
          <w:rFonts w:hint="eastAsia" w:ascii="宋体" w:hAnsi="宋体" w:eastAsia="宋体" w:cs="宋体"/>
          <w:b/>
          <w:bCs/>
          <w:strike w:val="0"/>
          <w:dstrike w:val="0"/>
          <w:color w:val="auto"/>
          <w:kern w:val="2"/>
          <w:sz w:val="21"/>
          <w:szCs w:val="21"/>
          <w:highlight w:val="none"/>
          <w:u w:val="none"/>
          <w:lang w:val="en-US" w:eastAsia="zh-CN" w:bidi="ar-SA"/>
        </w:rPr>
      </w:pPr>
      <w:r>
        <w:rPr>
          <w:rFonts w:hint="eastAsia" w:ascii="宋体" w:hAnsi="宋体" w:eastAsia="宋体" w:cs="宋体"/>
          <w:b/>
          <w:bCs/>
          <w:strike w:val="0"/>
          <w:dstrike w:val="0"/>
          <w:color w:val="auto"/>
          <w:kern w:val="2"/>
          <w:sz w:val="21"/>
          <w:szCs w:val="21"/>
          <w:highlight w:val="none"/>
          <w:u w:val="none"/>
          <w:lang w:val="en-US" w:eastAsia="zh-CN" w:bidi="ar-SA"/>
        </w:rPr>
        <w:t>3）以下工艺设备清单供参考（投标人自行完善），投标人应该按自身工艺流程设计编制工艺设备清单，并为设备的性能负责：</w:t>
      </w:r>
    </w:p>
    <w:p>
      <w:pPr>
        <w:pageBreakBefore w:val="0"/>
        <w:widowControl w:val="0"/>
        <w:kinsoku/>
        <w:wordWrap/>
        <w:overflowPunct/>
        <w:topLinePunct w:val="0"/>
        <w:autoSpaceDE/>
        <w:autoSpaceDN/>
        <w:bidi w:val="0"/>
        <w:adjustRightInd/>
        <w:snapToGrid/>
        <w:spacing w:line="500" w:lineRule="exact"/>
        <w:ind w:left="0" w:firstLine="422" w:firstLineChars="20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贵金属焚烧炉系统改造清单</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316"/>
        <w:gridCol w:w="2297"/>
        <w:gridCol w:w="1859"/>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w:t>
            </w:r>
          </w:p>
        </w:tc>
        <w:tc>
          <w:tcPr>
            <w:tcW w:w="1359"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贵金属热解炉（AB炉）</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参数</w:t>
            </w:r>
          </w:p>
        </w:tc>
        <w:tc>
          <w:tcPr>
            <w:tcW w:w="109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871"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贵金属热解炉（AB炉）</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10mm厚度　</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建议尺寸为：3500*2100*2800mm</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内衬100mm硅酸铝纤维板+50mm厚轻质保温浇注料+150mm厚刚玉浇注料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内均布一次风管、外设防爆阀</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热解炉燃烧器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单台炉配套3台燃烧器助燃</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耗天然气量10~30m³/h</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vMerge w:val="restart"/>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热解炉助燃风机</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Q:0~1400m³/h</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P:5000Pa</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变频调节</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vMerge w:val="restart"/>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助燃供风管及阀组</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与系统配套</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AB炉需切换供风，控制系统氧含量</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二燃室焚烧系统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烟道气动切断阀</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与一燃室对接</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阀片310S</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二燃室本体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碳钢t12+不锈钢锚固钉+100mm厚硅酸铝纤维棉+50mm保温浇注料+150mm厚刚玉浇注料</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Φ2.5m*8m</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二燃室喷燃炉</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Q235B+不锈钢锚固钉+150mm刚玉浇注料</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二燃室燃烧器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比例调解型</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天然气耗量150Nm³/h</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蓄电式紧急泄爆门</w:t>
            </w:r>
          </w:p>
        </w:tc>
        <w:tc>
          <w:tcPr>
            <w:tcW w:w="1347"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蓄电式</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DN250,310S阀片，内衬刚玉浇筑料</w:t>
            </w: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二次风机</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3000m³/h,5000Pa</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电机（变频调节）</w:t>
            </w:r>
            <w:r>
              <w:rPr>
                <w:rFonts w:hint="eastAsia" w:ascii="宋体" w:hAnsi="宋体" w:eastAsia="宋体" w:cs="宋体"/>
                <w:strike w:val="0"/>
                <w:dstrike w:val="0"/>
                <w:color w:val="auto"/>
                <w:kern w:val="0"/>
                <w:sz w:val="21"/>
                <w:szCs w:val="21"/>
                <w:highlight w:val="none"/>
                <w:lang w:val="en-US" w:eastAsia="zh-CN"/>
              </w:rPr>
              <w:t>东元、大中、皖南、</w:t>
            </w:r>
            <w:r>
              <w:rPr>
                <w:rFonts w:hint="eastAsia" w:ascii="宋体" w:hAnsi="宋体" w:eastAsia="宋体" w:cs="宋体"/>
                <w:strike w:val="0"/>
                <w:dstrike w:val="0"/>
                <w:color w:val="auto"/>
                <w:kern w:val="0"/>
                <w:sz w:val="21"/>
                <w:szCs w:val="21"/>
                <w:highlight w:val="none"/>
              </w:rPr>
              <w:t>西门子</w:t>
            </w:r>
            <w:r>
              <w:rPr>
                <w:rFonts w:hint="eastAsia" w:ascii="宋体" w:hAnsi="宋体" w:eastAsia="宋体" w:cs="宋体"/>
                <w:color w:val="auto"/>
                <w:kern w:val="2"/>
                <w:sz w:val="21"/>
                <w:szCs w:val="21"/>
                <w:highlight w:val="none"/>
                <w:lang w:val="en-US" w:eastAsia="zh-CN" w:bidi="ar-SA"/>
              </w:rPr>
              <w:t>（或优于所列档次）品牌</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与出口氧含量连锁</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w:t>
            </w:r>
          </w:p>
        </w:tc>
        <w:tc>
          <w:tcPr>
            <w:tcW w:w="4669" w:type="pct"/>
            <w:gridSpan w:val="4"/>
            <w:shd w:val="clear" w:color="000000" w:fill="FFFFFF"/>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余热锅炉系统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余热锅炉本体</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膜式壁余热锅炉，蒸汽压力1.3MPa，额定蒸发量1.4t/h</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Q245R、20#</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分气缸</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1进3出</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锅炉用一次性仪表阀门</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配套锅炉使用</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炉水采样器</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配套锅炉使用</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锅炉给水泵</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流量1.6m³/h,扬程180m</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sus304</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59" w:type="pct"/>
            <w:shd w:val="clear" w:color="000000" w:fill="FFFFFF"/>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软水器</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2m³/h双罐式</w:t>
            </w:r>
          </w:p>
        </w:tc>
        <w:tc>
          <w:tcPr>
            <w:tcW w:w="1090"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玻璃钢阳离子树脂交换双罐式</w:t>
            </w:r>
          </w:p>
        </w:tc>
        <w:tc>
          <w:tcPr>
            <w:tcW w:w="871"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四</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急冷装置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急冷塔塔体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碳钢t10+150mmKPI耐酸胶泥</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Ø1800*8000mm</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急冷喷淋泵</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流量：1m³/h，扬程100m</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SUS304</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急冷喷枪</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GSIM20110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316L</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五</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活性炭喷吹装置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活性炭储仓</w:t>
            </w:r>
          </w:p>
        </w:tc>
        <w:tc>
          <w:tcPr>
            <w:tcW w:w="1347" w:type="pct"/>
            <w:shd w:val="clear" w:color="000000" w:fill="FFFFFF"/>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V=2m³</w:t>
            </w:r>
            <w:r>
              <w:rPr>
                <w:rFonts w:hint="eastAsia" w:ascii="宋体" w:hAnsi="宋体" w:eastAsia="宋体" w:cs="宋体"/>
                <w:color w:val="auto"/>
                <w:kern w:val="0"/>
                <w:sz w:val="21"/>
                <w:szCs w:val="21"/>
                <w:highlight w:val="none"/>
              </w:rPr>
              <w:t>，含进料口，吸尘罩，自垂挡板、吸尘口、插板阀</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Q235B</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仓顶除尘器</w:t>
            </w:r>
          </w:p>
        </w:tc>
        <w:tc>
          <w:tcPr>
            <w:tcW w:w="1347"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PL-4 </w:t>
            </w:r>
            <w:r>
              <w:rPr>
                <w:rFonts w:hint="eastAsia" w:ascii="宋体" w:hAnsi="宋体" w:eastAsia="宋体" w:cs="宋体"/>
                <w:color w:val="auto"/>
                <w:kern w:val="0"/>
                <w:sz w:val="21"/>
                <w:szCs w:val="21"/>
                <w:highlight w:val="none"/>
              </w:rPr>
              <w:t>扁布袋振打</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料位传感器</w:t>
            </w:r>
          </w:p>
        </w:tc>
        <w:tc>
          <w:tcPr>
            <w:tcW w:w="1347"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射频导纳式</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流化装置</w:t>
            </w:r>
          </w:p>
        </w:tc>
        <w:tc>
          <w:tcPr>
            <w:tcW w:w="1347"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插板阀</w:t>
            </w:r>
          </w:p>
        </w:tc>
        <w:tc>
          <w:tcPr>
            <w:tcW w:w="1347"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变频称重给料机构及文丘喷射管</w:t>
            </w:r>
          </w:p>
        </w:tc>
        <w:tc>
          <w:tcPr>
            <w:tcW w:w="1347"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罗茨风机</w:t>
            </w:r>
          </w:p>
        </w:tc>
        <w:tc>
          <w:tcPr>
            <w:tcW w:w="1347"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shd w:val="clear" w:color="auto" w:fill="auto"/>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359" w:type="pct"/>
            <w:shd w:val="clear" w:color="000000" w:fill="FFFFFF"/>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管式消声器</w:t>
            </w:r>
          </w:p>
        </w:tc>
        <w:tc>
          <w:tcPr>
            <w:tcW w:w="1347"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71" w:type="pct"/>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六</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袋式除尘器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布袋除尘器本体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碳钢t6+五布七油耐高温MFE-W3 FRP防腐</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布袋滤袋</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φ130*2500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PTFE+PTFE覆膜</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布袋笼架</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φ126*2500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有机硅防腐</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双级卸灰阀</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400*400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铸钢，双级气动卸灰阀</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仓壁振打器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喷吹系统</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含脉冲阀及脉冲管路</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电加热</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七</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一级湿法脱酸塔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洗涤塔塔体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MFE-W3耐高温FRP</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Φ1600*6000mm</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本体厚度≥12mm</w:t>
            </w: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喷淋系统</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PTFE</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两层喷淋</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循环泵</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流量80m³/h，扬程30m</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碳钢衬四氟</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循环水配管</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DN150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CPVC，含阀门</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八</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二级湿法脱酸塔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洗涤塔塔体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FL-6</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MFE-W3耐高温FRP</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Φ1600*7500mm</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本体厚度≥12mm</w:t>
            </w: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喷淋系统</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PTFE</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三层喷淋</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循环泵</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流量80m³/h，扬程30m</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碳钢衬四氟</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除雾器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填料式除雾</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循环水配管</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DN150</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CPVC，含阀门</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九</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引风机及烟囱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引风机</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12000m³/h 7000Pa</w:t>
            </w:r>
          </w:p>
        </w:tc>
        <w:tc>
          <w:tcPr>
            <w:tcW w:w="109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风机叶轮及外壳316L</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变频电机，180℃</w:t>
            </w:r>
            <w:r>
              <w:rPr>
                <w:rFonts w:hint="eastAsia" w:ascii="宋体" w:hAnsi="宋体" w:eastAsia="宋体" w:cs="宋体"/>
                <w:strike w:val="0"/>
                <w:dstrike w:val="0"/>
                <w:color w:val="auto"/>
                <w:kern w:val="0"/>
                <w:sz w:val="21"/>
                <w:szCs w:val="21"/>
                <w:highlight w:val="none"/>
                <w:lang w:val="en-US" w:eastAsia="zh-CN"/>
              </w:rPr>
              <w:t>东元、大中、皖南、</w:t>
            </w:r>
            <w:r>
              <w:rPr>
                <w:rFonts w:hint="eastAsia" w:ascii="宋体" w:hAnsi="宋体" w:eastAsia="宋体" w:cs="宋体"/>
                <w:strike w:val="0"/>
                <w:dstrike w:val="0"/>
                <w:color w:val="auto"/>
                <w:kern w:val="0"/>
                <w:sz w:val="21"/>
                <w:szCs w:val="21"/>
                <w:highlight w:val="none"/>
              </w:rPr>
              <w:t>西门子</w:t>
            </w:r>
            <w:r>
              <w:rPr>
                <w:rFonts w:hint="eastAsia" w:ascii="宋体" w:hAnsi="宋体" w:eastAsia="宋体" w:cs="宋体"/>
                <w:color w:val="auto"/>
                <w:kern w:val="2"/>
                <w:sz w:val="21"/>
                <w:szCs w:val="21"/>
                <w:highlight w:val="none"/>
                <w:lang w:val="en-US" w:eastAsia="zh-CN" w:bidi="ar-SA"/>
              </w:rPr>
              <w:t>（或优于所列档次）品牌</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烟囱</w:t>
            </w:r>
          </w:p>
        </w:tc>
        <w:tc>
          <w:tcPr>
            <w:tcW w:w="1347"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φ700mm，h=35米</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MFE-W3耐高温FRP</w:t>
            </w:r>
          </w:p>
        </w:tc>
        <w:tc>
          <w:tcPr>
            <w:tcW w:w="871" w:type="pct"/>
            <w:vMerge w:val="restar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耐HF工艺</w:t>
            </w: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含烟囱保护架</w:t>
            </w: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十</w:t>
            </w:r>
          </w:p>
        </w:tc>
        <w:tc>
          <w:tcPr>
            <w:tcW w:w="1359" w:type="pct"/>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空压机站系统</w:t>
            </w:r>
          </w:p>
        </w:tc>
        <w:tc>
          <w:tcPr>
            <w:tcW w:w="1347"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利用现有空压机站</w:t>
            </w:r>
          </w:p>
        </w:tc>
        <w:tc>
          <w:tcPr>
            <w:tcW w:w="109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c>
          <w:tcPr>
            <w:tcW w:w="871"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十一</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电气控制系统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PLC控制柜</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GGD柜</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控制系统及主机</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strike w:val="0"/>
                <w:dstrike w:val="0"/>
                <w:color w:val="auto"/>
                <w:kern w:val="0"/>
                <w:sz w:val="21"/>
                <w:szCs w:val="21"/>
                <w:highlight w:val="none"/>
                <w:lang w:val="en-US" w:eastAsia="zh-CN"/>
              </w:rPr>
              <w:t>东元、大中、皖南、</w:t>
            </w:r>
            <w:r>
              <w:rPr>
                <w:rFonts w:hint="eastAsia" w:ascii="宋体" w:hAnsi="宋体" w:eastAsia="宋体" w:cs="宋体"/>
                <w:strike w:val="0"/>
                <w:dstrike w:val="0"/>
                <w:color w:val="auto"/>
                <w:kern w:val="0"/>
                <w:sz w:val="21"/>
                <w:szCs w:val="21"/>
                <w:highlight w:val="none"/>
              </w:rPr>
              <w:t>西门子</w:t>
            </w:r>
            <w:r>
              <w:rPr>
                <w:rFonts w:hint="eastAsia" w:ascii="宋体" w:hAnsi="宋体" w:eastAsia="宋体" w:cs="宋体"/>
                <w:color w:val="auto"/>
                <w:kern w:val="2"/>
                <w:sz w:val="21"/>
                <w:szCs w:val="21"/>
                <w:highlight w:val="none"/>
                <w:lang w:val="en-US" w:eastAsia="zh-CN" w:bidi="ar-SA"/>
              </w:rPr>
              <w:t>（或优于所列档次）品牌</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中控控制台</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含操作台、电脑显示器、监控电视</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软件编程</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电气仪表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热电偶、液位计、氧量仪、变送器等</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电动阀门</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桥架线缆</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0"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ign w:val="center"/>
          </w:tcPr>
          <w:p>
            <w:pPr>
              <w:widowControl/>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十二</w:t>
            </w:r>
          </w:p>
        </w:tc>
        <w:tc>
          <w:tcPr>
            <w:tcW w:w="4669" w:type="pct"/>
            <w:gridSpan w:val="4"/>
            <w:noWrap w:val="0"/>
            <w:vAlign w:val="center"/>
          </w:tcPr>
          <w:p>
            <w:pPr>
              <w:widowControl/>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restar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359" w:type="pct"/>
            <w:vMerge w:val="restar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系统烟、风、水、气管道</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与系统配套</w:t>
            </w:r>
          </w:p>
        </w:tc>
        <w:tc>
          <w:tcPr>
            <w:tcW w:w="1090" w:type="pct"/>
            <w:vMerge w:val="restar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组合件</w:t>
            </w:r>
          </w:p>
        </w:tc>
        <w:tc>
          <w:tcPr>
            <w:tcW w:w="871" w:type="pct"/>
            <w:vMerge w:val="restar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59"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包含与一燃室对接烟道</w:t>
            </w:r>
          </w:p>
        </w:tc>
        <w:tc>
          <w:tcPr>
            <w:tcW w:w="1090" w:type="pct"/>
            <w:vMerge w:val="continue"/>
            <w:noWrap w:val="0"/>
            <w:vAlign w:val="center"/>
          </w:tcPr>
          <w:p>
            <w:pPr>
              <w:widowControl/>
              <w:jc w:val="left"/>
              <w:rPr>
                <w:rFonts w:hint="eastAsia" w:ascii="宋体" w:hAnsi="宋体" w:eastAsia="宋体" w:cs="宋体"/>
                <w:color w:val="auto"/>
                <w:kern w:val="0"/>
                <w:sz w:val="21"/>
                <w:szCs w:val="21"/>
                <w:highlight w:val="none"/>
              </w:rPr>
            </w:pPr>
          </w:p>
        </w:tc>
        <w:tc>
          <w:tcPr>
            <w:tcW w:w="871" w:type="pct"/>
            <w:vMerge w:val="continue"/>
            <w:noWrap w:val="0"/>
            <w:vAlign w:val="center"/>
          </w:tcPr>
          <w:p>
            <w:pPr>
              <w:widowControl/>
              <w:jc w:val="left"/>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30" w:type="pc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359" w:type="pct"/>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系统钢结构平台爬梯等</w:t>
            </w:r>
          </w:p>
        </w:tc>
        <w:tc>
          <w:tcPr>
            <w:tcW w:w="1347" w:type="pct"/>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与系统配套</w:t>
            </w:r>
          </w:p>
        </w:tc>
        <w:tc>
          <w:tcPr>
            <w:tcW w:w="1090" w:type="pc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碳钢</w:t>
            </w:r>
          </w:p>
        </w:tc>
        <w:tc>
          <w:tcPr>
            <w:tcW w:w="871" w:type="pct"/>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bookmarkEnd w:id="0"/>
      <w:bookmarkEnd w:id="1"/>
      <w:bookmarkEnd w:id="2"/>
      <w:bookmarkEnd w:id="3"/>
      <w:bookmarkEnd w:id="4"/>
    </w:tbl>
    <w:p>
      <w:pPr>
        <w:spacing w:line="50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．商务条款</w:t>
      </w:r>
    </w:p>
    <w:tbl>
      <w:tblPr>
        <w:tblStyle w:val="11"/>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734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7" w:hRule="atLeast"/>
          <w:jc w:val="center"/>
        </w:trPr>
        <w:tc>
          <w:tcPr>
            <w:tcW w:w="2127" w:type="dxa"/>
            <w:tcBorders>
              <w:top w:val="single" w:color="auto" w:sz="4" w:space="0"/>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包装及运输</w:t>
            </w:r>
          </w:p>
        </w:tc>
        <w:tc>
          <w:tcPr>
            <w:tcW w:w="7348" w:type="dxa"/>
            <w:tcBorders>
              <w:top w:val="single" w:color="auto" w:sz="4" w:space="0"/>
              <w:right w:val="single" w:color="auto" w:sz="4" w:space="0"/>
            </w:tcBorders>
            <w:noWrap w:val="0"/>
            <w:vAlign w:val="center"/>
          </w:tcPr>
          <w:p>
            <w:pPr>
              <w:pStyle w:val="13"/>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所有设备在运送时应根据规定的标准有足够的保护措施和包装要求，使设备不受潮湿、剥蚀或其它形式的损坏。供货方应保证设备在交付到现场后免于水溅和腐蚀。所有设备应采取有效的保护措施直到调试前，不应有任何损坏和损伤。在运输中损坏的保护层造成内部设备损坏的，供货方必须返回原制造厂家处进行调换，其费用由供货方负责。</w:t>
            </w:r>
          </w:p>
          <w:p>
            <w:pPr>
              <w:pStyle w:val="13"/>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2、在制造厂家工厂已涂过面漆的设备部件例如控制柜等，在发货时应提供外保护。电气设备的包装应特别注意，它应密封在聚乙烯或类似的包装袋中(包括必要的干燥剂)，做好充分的预防措施以防潮湿的侵入。</w:t>
            </w:r>
          </w:p>
          <w:p>
            <w:pPr>
              <w:pStyle w:val="13"/>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3、外包装由</w:t>
            </w:r>
            <w:r>
              <w:rPr>
                <w:rFonts w:hint="eastAsia" w:ascii="宋体" w:hAnsi="宋体" w:cs="宋体"/>
                <w:color w:val="auto"/>
                <w:sz w:val="21"/>
                <w:szCs w:val="21"/>
                <w:highlight w:val="none"/>
                <w:lang w:val="en-US" w:eastAsia="zh-CN"/>
              </w:rPr>
              <w:t>中标人</w:t>
            </w:r>
            <w:r>
              <w:rPr>
                <w:rFonts w:hint="eastAsia" w:ascii="宋体" w:hAnsi="宋体" w:cs="宋体"/>
                <w:color w:val="auto"/>
                <w:sz w:val="21"/>
                <w:szCs w:val="21"/>
                <w:highlight w:val="none"/>
              </w:rPr>
              <w:t>负责清运。</w:t>
            </w:r>
          </w:p>
          <w:p>
            <w:pPr>
              <w:pStyle w:val="13"/>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4、所有备件、工具应单独装在箱盒内运送，这些箱盒应适合于储存，在它们的整个储存年限内不会损坏。所有备件、工具应加以标签，以使它们可以快速地辨认出来，知道是某部</w:t>
            </w:r>
            <w:r>
              <w:rPr>
                <w:rFonts w:hint="eastAsia" w:ascii="宋体" w:hAnsi="宋体" w:cs="宋体"/>
                <w:color w:val="auto"/>
                <w:sz w:val="21"/>
                <w:szCs w:val="21"/>
                <w:highlight w:val="none"/>
                <w:lang w:val="en-US" w:eastAsia="zh-CN"/>
              </w:rPr>
              <w:t>分</w:t>
            </w:r>
            <w:r>
              <w:rPr>
                <w:rFonts w:hint="eastAsia" w:ascii="宋体" w:hAnsi="宋体" w:cs="宋体"/>
                <w:color w:val="auto"/>
                <w:sz w:val="21"/>
                <w:szCs w:val="21"/>
                <w:highlight w:val="none"/>
              </w:rPr>
              <w:t>的备件。设备每个项目的储存年限应在包装上予以说明。</w:t>
            </w:r>
          </w:p>
          <w:p>
            <w:pPr>
              <w:spacing w:line="3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产品包装应符合国家或专业（部）标准规定。货物的交付时，应附有产品合格证书（包括合格证、部件合格证、材料合格证等）、产品说明书、装箱单、易损件、备件及专用工具清单等，一套完整的技术文件资料。</w:t>
            </w:r>
          </w:p>
          <w:p>
            <w:pPr>
              <w:spacing w:line="3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应保证所供货物是全新的、未使用过的货物。</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应保证其货物在正确安装、正常使用和保养条件下，在使用寿命内应确保正常</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使用寿命。</w:t>
            </w:r>
          </w:p>
          <w:p>
            <w:pPr>
              <w:spacing w:line="3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应负责设备的途中运输，对途中运输的安全负责。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2127" w:type="dxa"/>
            <w:tcBorders>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合格标准</w:t>
            </w:r>
          </w:p>
        </w:tc>
        <w:tc>
          <w:tcPr>
            <w:tcW w:w="7348" w:type="dxa"/>
            <w:tcBorders>
              <w:right w:val="single" w:color="auto" w:sz="4" w:space="0"/>
            </w:tcBorders>
            <w:noWrap w:val="0"/>
            <w:vAlign w:val="center"/>
          </w:tcPr>
          <w:p>
            <w:pPr>
              <w:snapToGrid w:val="0"/>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一次性验收。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2127" w:type="dxa"/>
            <w:tcBorders>
              <w:left w:val="single" w:color="auto" w:sz="4" w:space="0"/>
              <w:bottom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质保期及售后服务</w:t>
            </w:r>
          </w:p>
        </w:tc>
        <w:tc>
          <w:tcPr>
            <w:tcW w:w="7348"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1.质保期至</w:t>
            </w:r>
            <w:r>
              <w:rPr>
                <w:rFonts w:hint="eastAsia" w:ascii="宋体" w:hAnsi="宋体" w:cs="宋体"/>
                <w:color w:val="auto"/>
                <w:sz w:val="21"/>
                <w:szCs w:val="21"/>
                <w:highlight w:val="none"/>
              </w:rPr>
              <w:t>少1年，</w:t>
            </w:r>
            <w:r>
              <w:rPr>
                <w:rFonts w:hint="eastAsia" w:ascii="宋体" w:hAnsi="宋体" w:cs="宋体"/>
                <w:color w:val="auto"/>
                <w:sz w:val="21"/>
                <w:szCs w:val="21"/>
                <w:highlight w:val="none"/>
              </w:rPr>
              <w:t>（厂家有超过1年规定的按厂家规定执行）质保期从安装调试完毕，最终验收合格之日开始计算。保证按</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人的要求免费修理或更换因材料或制造不合格而有缺陷的任何设备和附件（被更换的设备和附件仍按本条款处理）除非采购人另有要求，质保期内的服务均为免费上门服务。</w:t>
            </w:r>
          </w:p>
          <w:p>
            <w:pPr>
              <w:pStyle w:val="13"/>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b/>
                <w:color w:val="auto"/>
                <w:sz w:val="21"/>
                <w:szCs w:val="21"/>
                <w:highlight w:val="none"/>
              </w:rPr>
            </w:pPr>
            <w:r>
              <w:rPr>
                <w:rFonts w:hint="eastAsia" w:ascii="宋体" w:hAnsi="宋体" w:cs="宋体"/>
                <w:color w:val="auto"/>
                <w:sz w:val="21"/>
                <w:szCs w:val="21"/>
                <w:highlight w:val="none"/>
              </w:rPr>
              <w:t>2.在保修期内，采购人有质量问题申报，</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或原厂商，须在投标文件中注明有谁提供服务）须在2小时内电话响应并提供解决方案；若不能以电话方式解决故障，须在24小时内派遣有经验的维修工程师到现场提供维修服务；维修工程师赴现场后应及时对故障设备进行检修，并连续进行直至修复。对于一般故障应在24小时内修复；对于重大故障应在48小时内修复。并提供不</w:t>
            </w:r>
            <w:r>
              <w:rPr>
                <w:rFonts w:hint="eastAsia" w:ascii="宋体" w:hAnsi="宋体" w:cs="宋体"/>
                <w:color w:val="auto"/>
                <w:sz w:val="21"/>
                <w:szCs w:val="21"/>
                <w:highlight w:val="none"/>
                <w:lang w:eastAsia="zh-CN"/>
              </w:rPr>
              <w:t>间断地服务</w:t>
            </w:r>
            <w:r>
              <w:rPr>
                <w:rFonts w:hint="eastAsia" w:ascii="宋体" w:hAnsi="宋体" w:cs="宋体"/>
                <w:color w:val="auto"/>
                <w:sz w:val="21"/>
                <w:szCs w:val="21"/>
                <w:highlight w:val="none"/>
              </w:rPr>
              <w:t>直到结束。维修点需提供足够的备件以适应维修需求。</w:t>
            </w:r>
            <w:r>
              <w:rPr>
                <w:rFonts w:hint="eastAsia" w:ascii="宋体" w:hAnsi="宋体" w:cs="宋体"/>
                <w:b/>
                <w:color w:val="auto"/>
                <w:sz w:val="21"/>
                <w:szCs w:val="21"/>
                <w:highlight w:val="none"/>
              </w:rPr>
              <w:t>在投标文件中须提供制造商针对本项目的售后服务承诺。</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rPr>
              <w:t>3.备件供应：投标人对各种型号的设备须提供足够的备件、附件和易损件并保证是原厂生产的产品，以满足设备正常运行的需要。投标人提供的设备备件应按标准制造，并有替换性和精确装配性。投标人所提供的设备应设有固定的可提供备品、备件的售后服务中心</w:t>
            </w:r>
            <w:r>
              <w:rPr>
                <w:rFonts w:hint="eastAsia" w:ascii="宋体" w:hAnsi="宋体" w:cs="宋体"/>
                <w:b w:val="0"/>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rPr>
              <w:t>1）须免费提供足够的常用检修设备。推荐的检修设备须在投标文件中注明。这些设备及工具不能在安装时使用。</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rPr>
              <w:t>2）所有测试需要的附件、零部件和中文操作维修手册应与检修设备一并免费提供。</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5.保修期内，与维修相关的所有费用由</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负责。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777" w:hRule="atLeast"/>
          <w:jc w:val="center"/>
        </w:trPr>
        <w:tc>
          <w:tcPr>
            <w:tcW w:w="2127" w:type="dxa"/>
            <w:tcBorders>
              <w:top w:val="single" w:color="auto" w:sz="4" w:space="0"/>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项目投标报价要求</w:t>
            </w:r>
          </w:p>
        </w:tc>
        <w:tc>
          <w:tcPr>
            <w:tcW w:w="7348" w:type="dxa"/>
            <w:tcBorders>
              <w:top w:val="single" w:color="auto" w:sz="4" w:space="0"/>
              <w:right w:val="single" w:color="auto" w:sz="4" w:space="0"/>
            </w:tcBorders>
            <w:noWrap w:val="0"/>
            <w:vAlign w:val="top"/>
          </w:tcPr>
          <w:p>
            <w:pPr>
              <w:spacing w:line="3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1.投标报价包括系统及其附件的设计、制造和供货、运输、</w:t>
            </w:r>
            <w:r>
              <w:rPr>
                <w:rFonts w:hint="eastAsia" w:ascii="宋体" w:hAnsi="宋体" w:cs="宋体"/>
                <w:color w:val="auto"/>
                <w:sz w:val="21"/>
                <w:szCs w:val="21"/>
                <w:highlight w:val="none"/>
                <w:lang w:val="en-US" w:eastAsia="zh-CN"/>
              </w:rPr>
              <w:t>土建施工</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现场安装调试、检验、保险、及验收、技术服务（包括技术资料、</w:t>
            </w:r>
            <w:r>
              <w:rPr>
                <w:rFonts w:hint="eastAsia" w:ascii="宋体" w:hAnsi="宋体" w:cs="宋体"/>
                <w:color w:val="auto"/>
                <w:sz w:val="21"/>
                <w:szCs w:val="21"/>
                <w:highlight w:val="none"/>
                <w:lang w:eastAsia="zh-CN"/>
              </w:rPr>
              <w:t>图纸地提供</w:t>
            </w:r>
            <w:r>
              <w:rPr>
                <w:rFonts w:hint="eastAsia" w:ascii="宋体" w:hAnsi="宋体" w:cs="宋体"/>
                <w:color w:val="auto"/>
                <w:sz w:val="21"/>
                <w:szCs w:val="21"/>
                <w:highlight w:val="none"/>
              </w:rPr>
              <w:t>）、质保期保障、招标代理费、</w:t>
            </w:r>
            <w:r>
              <w:rPr>
                <w:rFonts w:hint="eastAsia" w:ascii="宋体" w:hAnsi="宋体" w:cs="宋体"/>
                <w:color w:val="auto"/>
                <w:sz w:val="21"/>
                <w:szCs w:val="21"/>
                <w:highlight w:val="none"/>
                <w:lang w:val="en-US" w:eastAsia="zh-CN"/>
              </w:rPr>
              <w:t>利润、</w:t>
            </w:r>
            <w:r>
              <w:rPr>
                <w:rFonts w:hint="eastAsia" w:ascii="宋体" w:hAnsi="宋体" w:cs="宋体"/>
                <w:color w:val="auto"/>
                <w:sz w:val="21"/>
                <w:szCs w:val="21"/>
                <w:highlight w:val="none"/>
              </w:rPr>
              <w:t>税金</w:t>
            </w:r>
            <w:r>
              <w:rPr>
                <w:rFonts w:hint="eastAsia" w:ascii="宋体" w:hAnsi="宋体" w:cs="宋体"/>
                <w:bCs/>
                <w:color w:val="auto"/>
                <w:sz w:val="21"/>
                <w:szCs w:val="21"/>
                <w:highlight w:val="none"/>
              </w:rPr>
              <w:t>等一切费用。</w:t>
            </w:r>
            <w:r>
              <w:rPr>
                <w:rFonts w:hint="eastAsia" w:ascii="宋体" w:hAnsi="宋体" w:cs="宋体"/>
                <w:color w:val="auto"/>
                <w:sz w:val="21"/>
                <w:szCs w:val="21"/>
                <w:highlight w:val="none"/>
              </w:rPr>
              <w:t>即投标人所投报的投标报价为投标人所能承受的整个项目的一次性最终最低报价(为本采购项目总价)，组价如有漏项，视同已包含在其它项目中，合同单价不</w:t>
            </w:r>
            <w:r>
              <w:rPr>
                <w:rFonts w:hint="eastAsia" w:ascii="宋体" w:hAnsi="宋体" w:cs="宋体"/>
                <w:color w:val="auto"/>
                <w:sz w:val="21"/>
                <w:szCs w:val="21"/>
                <w:highlight w:val="none"/>
                <w:lang w:eastAsia="zh-CN"/>
              </w:rPr>
              <w:t>作调整</w:t>
            </w:r>
            <w:r>
              <w:rPr>
                <w:rFonts w:hint="eastAsia" w:ascii="宋体" w:hAnsi="宋体" w:cs="宋体"/>
                <w:color w:val="auto"/>
                <w:sz w:val="21"/>
                <w:szCs w:val="21"/>
                <w:highlight w:val="none"/>
              </w:rPr>
              <w:t>。</w:t>
            </w:r>
          </w:p>
          <w:p>
            <w:pPr>
              <w:snapToGrid w:val="0"/>
              <w:spacing w:line="3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2.按国家规定由中标人缴纳的各种税收已包含在投标总价内，由中标人向税务机关缴纳。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2127" w:type="dxa"/>
            <w:tcBorders>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交货时间及地点</w:t>
            </w:r>
          </w:p>
        </w:tc>
        <w:tc>
          <w:tcPr>
            <w:tcW w:w="7348" w:type="dxa"/>
            <w:tcBorders>
              <w:right w:val="single" w:color="auto" w:sz="4" w:space="0"/>
            </w:tcBorders>
            <w:noWrap w:val="0"/>
            <w:vAlign w:val="center"/>
          </w:tcPr>
          <w:p>
            <w:pPr>
              <w:tabs>
                <w:tab w:val="left" w:pos="0"/>
                <w:tab w:val="left" w:pos="180"/>
                <w:tab w:val="left" w:pos="540"/>
              </w:tabs>
              <w:snapToGrid w:val="0"/>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合同签订后根据合同期限交货，保修期按验收合格之日计算。</w:t>
            </w:r>
          </w:p>
          <w:p>
            <w:pPr>
              <w:tabs>
                <w:tab w:val="left" w:pos="0"/>
                <w:tab w:val="left" w:pos="180"/>
                <w:tab w:val="left" w:pos="540"/>
              </w:tabs>
              <w:snapToGrid w:val="0"/>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地点：</w:t>
            </w:r>
            <w:r>
              <w:rPr>
                <w:rFonts w:hint="eastAsia" w:ascii="宋体" w:hAnsi="宋体" w:cs="宋体"/>
                <w:color w:val="auto"/>
                <w:sz w:val="21"/>
                <w:szCs w:val="21"/>
                <w:highlight w:val="none"/>
                <w:u w:val="none"/>
              </w:rPr>
              <w:t>由</w:t>
            </w:r>
            <w:r>
              <w:rPr>
                <w:rFonts w:hint="eastAsia" w:ascii="宋体" w:hAnsi="宋体"/>
                <w:b/>
                <w:color w:val="auto"/>
                <w:spacing w:val="2"/>
                <w:sz w:val="21"/>
                <w:szCs w:val="21"/>
                <w:highlight w:val="none"/>
                <w:u w:val="none"/>
                <w:lang w:val="en-US" w:eastAsia="zh-CN"/>
              </w:rPr>
              <w:t>采购人</w:t>
            </w:r>
            <w:r>
              <w:rPr>
                <w:rFonts w:hint="eastAsia" w:ascii="宋体" w:hAnsi="宋体" w:cs="宋体"/>
                <w:color w:val="auto"/>
                <w:sz w:val="21"/>
                <w:szCs w:val="21"/>
                <w:highlight w:val="none"/>
                <w:u w:val="none"/>
              </w:rPr>
              <w:t>指定。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127" w:type="dxa"/>
            <w:tcBorders>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安装工艺</w:t>
            </w:r>
          </w:p>
        </w:tc>
        <w:tc>
          <w:tcPr>
            <w:tcW w:w="7348" w:type="dxa"/>
            <w:tcBorders>
              <w:right w:val="single" w:color="auto" w:sz="4" w:space="0"/>
            </w:tcBorders>
            <w:noWrap w:val="0"/>
            <w:vAlign w:val="center"/>
          </w:tcPr>
          <w:p>
            <w:pPr>
              <w:tabs>
                <w:tab w:val="left" w:pos="0"/>
                <w:tab w:val="left" w:pos="180"/>
                <w:tab w:val="left" w:pos="540"/>
              </w:tabs>
              <w:snapToGrid w:val="0"/>
              <w:spacing w:line="3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1.中标人在安装施工中必须服从</w:t>
            </w:r>
            <w:r>
              <w:rPr>
                <w:rFonts w:hint="eastAsia" w:ascii="宋体" w:hAnsi="宋体" w:cs="宋体"/>
                <w:color w:val="auto"/>
                <w:sz w:val="21"/>
                <w:szCs w:val="21"/>
                <w:highlight w:val="none"/>
                <w:lang w:eastAsia="zh-CN"/>
              </w:rPr>
              <w:t>采购人</w:t>
            </w:r>
            <w:r>
              <w:rPr>
                <w:rFonts w:hint="eastAsia" w:ascii="宋体" w:hAnsi="宋体" w:cs="宋体"/>
                <w:color w:val="auto"/>
                <w:sz w:val="21"/>
                <w:szCs w:val="21"/>
                <w:highlight w:val="none"/>
              </w:rPr>
              <w:t>工作人员的现场指挥，由</w:t>
            </w:r>
            <w:r>
              <w:rPr>
                <w:rFonts w:hint="eastAsia" w:ascii="宋体" w:hAnsi="宋体" w:cs="宋体"/>
                <w:color w:val="auto"/>
                <w:sz w:val="21"/>
                <w:szCs w:val="21"/>
                <w:highlight w:val="none"/>
                <w:lang w:eastAsia="zh-CN"/>
              </w:rPr>
              <w:t>采购人</w:t>
            </w:r>
            <w:r>
              <w:rPr>
                <w:rFonts w:hint="eastAsia" w:ascii="宋体" w:hAnsi="宋体" w:cs="宋体"/>
                <w:color w:val="auto"/>
                <w:sz w:val="21"/>
                <w:szCs w:val="21"/>
                <w:highlight w:val="none"/>
              </w:rPr>
              <w:t>提供安装施工水电使用的便利条件。</w:t>
            </w:r>
          </w:p>
          <w:p>
            <w:pPr>
              <w:tabs>
                <w:tab w:val="left" w:pos="0"/>
                <w:tab w:val="left" w:pos="180"/>
                <w:tab w:val="left" w:pos="540"/>
              </w:tabs>
              <w:snapToGrid w:val="0"/>
              <w:spacing w:line="360" w:lineRule="exact"/>
              <w:ind w:firstLine="420" w:firstLineChars="200"/>
              <w:rPr>
                <w:rFonts w:ascii="宋体" w:hAnsi="宋体"/>
                <w:color w:val="auto"/>
                <w:sz w:val="21"/>
                <w:szCs w:val="21"/>
                <w:highlight w:val="none"/>
              </w:rPr>
            </w:pPr>
            <w:r>
              <w:rPr>
                <w:rFonts w:hint="eastAsia" w:ascii="宋体" w:hAnsi="宋体" w:cs="宋体"/>
                <w:color w:val="auto"/>
                <w:sz w:val="21"/>
                <w:szCs w:val="21"/>
                <w:highlight w:val="none"/>
              </w:rPr>
              <w:t>2.中标人在安装作业施工过程中必须确保周边设施及人员的安全，本项目中相关的安全责任保险由中标人负责交纳。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127" w:type="dxa"/>
            <w:tcBorders>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合同工期及验收</w:t>
            </w:r>
          </w:p>
        </w:tc>
        <w:tc>
          <w:tcPr>
            <w:tcW w:w="7348" w:type="dxa"/>
            <w:tcBorders>
              <w:right w:val="single" w:color="auto" w:sz="4" w:space="0"/>
            </w:tcBorders>
            <w:noWrap w:val="0"/>
            <w:vAlign w:val="center"/>
          </w:tcPr>
          <w:p>
            <w:pPr>
              <w:pStyle w:val="8"/>
              <w:spacing w:before="0" w:beforeAutospacing="0" w:after="0" w:afterAutospacing="0" w:line="360" w:lineRule="exact"/>
              <w:ind w:firstLine="211" w:firstLineChars="100"/>
              <w:rPr>
                <w:rFonts w:cs="宋体"/>
                <w:b/>
                <w:color w:val="auto"/>
                <w:sz w:val="21"/>
                <w:szCs w:val="21"/>
                <w:highlight w:val="none"/>
              </w:rPr>
            </w:pPr>
            <w:r>
              <w:rPr>
                <w:rFonts w:hint="eastAsia" w:cs="宋体"/>
                <w:b/>
                <w:color w:val="auto"/>
                <w:sz w:val="21"/>
                <w:szCs w:val="21"/>
                <w:highlight w:val="none"/>
              </w:rPr>
              <w:t>合同签订</w:t>
            </w:r>
            <w:r>
              <w:rPr>
                <w:rFonts w:hint="eastAsia" w:cs="宋体"/>
                <w:b/>
                <w:color w:val="auto"/>
                <w:sz w:val="21"/>
                <w:szCs w:val="21"/>
                <w:highlight w:val="none"/>
                <w:u w:val="none"/>
              </w:rPr>
              <w:t>后</w:t>
            </w:r>
            <w:r>
              <w:rPr>
                <w:rFonts w:hint="eastAsia" w:cs="宋体"/>
                <w:b/>
                <w:color w:val="auto"/>
                <w:sz w:val="21"/>
                <w:szCs w:val="21"/>
                <w:highlight w:val="none"/>
                <w:u w:val="none"/>
              </w:rPr>
              <w:t>100天内</w:t>
            </w:r>
            <w:r>
              <w:rPr>
                <w:rFonts w:hint="eastAsia" w:cs="宋体"/>
                <w:b/>
                <w:color w:val="auto"/>
                <w:sz w:val="21"/>
                <w:szCs w:val="21"/>
                <w:highlight w:val="none"/>
                <w:u w:val="none"/>
              </w:rPr>
              <w:t>完</w:t>
            </w:r>
            <w:r>
              <w:rPr>
                <w:rFonts w:hint="eastAsia" w:cs="宋体"/>
                <w:b/>
                <w:color w:val="auto"/>
                <w:sz w:val="21"/>
                <w:szCs w:val="21"/>
                <w:highlight w:val="none"/>
              </w:rPr>
              <w:t>成</w:t>
            </w:r>
            <w:r>
              <w:rPr>
                <w:rFonts w:hint="eastAsia" w:cs="宋体"/>
                <w:b/>
                <w:color w:val="auto"/>
                <w:sz w:val="21"/>
                <w:szCs w:val="21"/>
                <w:highlight w:val="none"/>
                <w:lang w:val="en-US" w:eastAsia="zh-CN"/>
              </w:rPr>
              <w:t>设备</w:t>
            </w:r>
            <w:r>
              <w:rPr>
                <w:rFonts w:hint="eastAsia" w:cs="宋体"/>
                <w:b/>
                <w:color w:val="auto"/>
                <w:sz w:val="21"/>
                <w:szCs w:val="21"/>
                <w:highlight w:val="none"/>
              </w:rPr>
              <w:t>安装、调试和验收。</w:t>
            </w:r>
          </w:p>
          <w:p>
            <w:pPr>
              <w:snapToGrid w:val="0"/>
              <w:spacing w:line="360" w:lineRule="exact"/>
              <w:ind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根据中华人民共和国现行技术标准，按采购文件以及合同规定的验收评定标准、规范等，由</w:t>
            </w:r>
            <w:r>
              <w:rPr>
                <w:rFonts w:hint="eastAsia" w:ascii="宋体" w:hAnsi="宋体"/>
                <w:b/>
                <w:color w:val="auto"/>
                <w:spacing w:val="2"/>
                <w:sz w:val="21"/>
                <w:szCs w:val="21"/>
                <w:highlight w:val="none"/>
                <w:u w:val="none"/>
                <w:lang w:val="en-US" w:eastAsia="zh-CN"/>
              </w:rPr>
              <w:t>采购人</w:t>
            </w:r>
            <w:r>
              <w:rPr>
                <w:rFonts w:hint="eastAsia" w:ascii="宋体" w:hAnsi="宋体" w:cs="宋体"/>
                <w:color w:val="auto"/>
                <w:sz w:val="21"/>
                <w:szCs w:val="21"/>
                <w:highlight w:val="none"/>
              </w:rPr>
              <w:t>统一组织验收。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04" w:hRule="atLeast"/>
          <w:jc w:val="center"/>
        </w:trPr>
        <w:tc>
          <w:tcPr>
            <w:tcW w:w="2127" w:type="dxa"/>
            <w:tcBorders>
              <w:left w:val="single" w:color="auto" w:sz="4" w:space="0"/>
            </w:tcBorders>
            <w:noWrap w:val="0"/>
            <w:vAlign w:val="center"/>
          </w:tcPr>
          <w:p>
            <w:pPr>
              <w:snapToGrid w:val="0"/>
              <w:spacing w:line="3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付款条件</w:t>
            </w:r>
          </w:p>
        </w:tc>
        <w:tc>
          <w:tcPr>
            <w:tcW w:w="7348" w:type="dxa"/>
            <w:tcBorders>
              <w:right w:val="single" w:color="auto" w:sz="4" w:space="0"/>
            </w:tcBorders>
            <w:noWrap w:val="0"/>
            <w:vAlign w:val="center"/>
          </w:tcPr>
          <w:p>
            <w:pPr>
              <w:numPr>
                <w:ilvl w:val="0"/>
                <w:numId w:val="0"/>
              </w:numPr>
              <w:snapToGri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合同签订后，支付合同总额的</w:t>
            </w:r>
            <w:r>
              <w:rPr>
                <w:rFonts w:ascii="宋体" w:hAnsi="宋体"/>
                <w:color w:val="auto"/>
                <w:sz w:val="21"/>
                <w:szCs w:val="21"/>
                <w:highlight w:val="none"/>
              </w:rPr>
              <w:t>30</w:t>
            </w:r>
            <w:r>
              <w:rPr>
                <w:rFonts w:hint="eastAsia" w:ascii="宋体" w:hAnsi="宋体"/>
                <w:color w:val="auto"/>
                <w:sz w:val="21"/>
                <w:szCs w:val="21"/>
                <w:highlight w:val="none"/>
              </w:rPr>
              <w:t>%；</w:t>
            </w:r>
          </w:p>
          <w:p>
            <w:pPr>
              <w:numPr>
                <w:ilvl w:val="0"/>
                <w:numId w:val="0"/>
              </w:numPr>
              <w:snapToGri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设备</w:t>
            </w:r>
            <w:r>
              <w:rPr>
                <w:rFonts w:hint="eastAsia" w:ascii="宋体" w:hAnsi="宋体"/>
                <w:color w:val="auto"/>
                <w:sz w:val="21"/>
                <w:szCs w:val="21"/>
                <w:highlight w:val="none"/>
                <w:lang w:val="en-US" w:eastAsia="zh-CN"/>
              </w:rPr>
              <w:t>到场</w:t>
            </w:r>
            <w:r>
              <w:rPr>
                <w:rFonts w:hint="eastAsia" w:ascii="宋体" w:hAnsi="宋体"/>
                <w:color w:val="auto"/>
                <w:sz w:val="21"/>
                <w:szCs w:val="21"/>
                <w:highlight w:val="none"/>
              </w:rPr>
              <w:t>验收合格后提货前，支付合同总额的</w:t>
            </w:r>
            <w:r>
              <w:rPr>
                <w:rFonts w:ascii="宋体" w:hAnsi="宋体"/>
                <w:color w:val="auto"/>
                <w:sz w:val="21"/>
                <w:szCs w:val="21"/>
                <w:highlight w:val="none"/>
              </w:rPr>
              <w:t>5</w:t>
            </w:r>
            <w:r>
              <w:rPr>
                <w:rFonts w:hint="eastAsia" w:ascii="宋体" w:hAnsi="宋体"/>
                <w:color w:val="auto"/>
                <w:sz w:val="21"/>
                <w:szCs w:val="21"/>
                <w:highlight w:val="none"/>
              </w:rPr>
              <w:t>0%；</w:t>
            </w:r>
          </w:p>
          <w:p>
            <w:pPr>
              <w:numPr>
                <w:ilvl w:val="0"/>
                <w:numId w:val="0"/>
              </w:numPr>
              <w:snapToGri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设备到货安装完毕，生产调试经验收合格后，支付合同总额的15%；</w:t>
            </w:r>
            <w:r>
              <w:rPr>
                <w:rFonts w:hint="eastAsia" w:ascii="宋体" w:hAnsi="宋体"/>
                <w:color w:val="auto"/>
                <w:sz w:val="21"/>
                <w:szCs w:val="21"/>
                <w:highlight w:val="none"/>
                <w:lang w:val="en-US" w:eastAsia="zh-CN"/>
              </w:rPr>
              <w:t>中标人</w:t>
            </w:r>
            <w:r>
              <w:rPr>
                <w:rFonts w:hint="eastAsia" w:ascii="宋体" w:hAnsi="宋体"/>
                <w:color w:val="auto"/>
                <w:sz w:val="21"/>
                <w:szCs w:val="21"/>
                <w:highlight w:val="none"/>
              </w:rPr>
              <w:t>提供全额增值税发票；</w:t>
            </w:r>
          </w:p>
          <w:p>
            <w:pPr>
              <w:snapToGrid w:val="0"/>
              <w:spacing w:line="360" w:lineRule="exact"/>
              <w:ind w:firstLine="420" w:firstLineChars="200"/>
              <w:rPr>
                <w:rFonts w:ascii="宋体" w:hAnsi="宋体" w:cs="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质保期满后，付清尾款。</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A24A5"/>
    <w:multiLevelType w:val="multilevel"/>
    <w:tmpl w:val="0FEA24A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2D7436"/>
    <w:multiLevelType w:val="multilevel"/>
    <w:tmpl w:val="122D74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12E46"/>
    <w:rsid w:val="34D12E46"/>
    <w:rsid w:val="454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2"/>
    <w:basedOn w:val="1"/>
    <w:next w:val="5"/>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5">
    <w:name w:val="Normal Indent"/>
    <w:basedOn w:val="1"/>
    <w:next w:val="1"/>
    <w:qFormat/>
    <w:uiPriority w:val="0"/>
    <w:pPr>
      <w:ind w:firstLine="420"/>
    </w:pPr>
    <w:rPr>
      <w:sz w:val="21"/>
      <w:szCs w:val="20"/>
    </w:rPr>
  </w:style>
  <w:style w:type="paragraph" w:styleId="6">
    <w:name w:val="Body Text Indent"/>
    <w:basedOn w:val="1"/>
    <w:next w:val="7"/>
    <w:uiPriority w:val="0"/>
    <w:pPr>
      <w:spacing w:line="200" w:lineRule="atLeast"/>
      <w:ind w:firstLine="301"/>
    </w:pPr>
    <w:rPr>
      <w:rFonts w:hint="eastAsia" w:ascii="宋体" w:hAnsi="Courier New"/>
      <w:spacing w:val="-4"/>
      <w:sz w:val="18"/>
      <w:szCs w:val="20"/>
    </w:rPr>
  </w:style>
  <w:style w:type="paragraph" w:styleId="7">
    <w:name w:val="envelope return"/>
    <w:basedOn w:val="1"/>
    <w:qFormat/>
    <w:uiPriority w:val="0"/>
    <w:pPr>
      <w:snapToGrid w:val="0"/>
    </w:pPr>
    <w:rPr>
      <w:rFonts w:ascii="Arial" w:hAnsi="Arial"/>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9">
    <w:name w:val="Body Text First Indent 2"/>
    <w:basedOn w:val="6"/>
    <w:next w:val="10"/>
    <w:qFormat/>
    <w:uiPriority w:val="99"/>
    <w:pPr>
      <w:ind w:firstLine="420"/>
    </w:pPr>
    <w:rPr>
      <w:rFonts w:cs="宋体"/>
      <w:szCs w:val="21"/>
    </w:rPr>
  </w:style>
  <w:style w:type="paragraph" w:customStyle="1" w:styleId="10">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szCs w:val="20"/>
    </w:rPr>
  </w:style>
  <w:style w:type="paragraph" w:customStyle="1" w:styleId="13">
    <w:name w:val="+正文"/>
    <w:basedOn w:val="1"/>
    <w:qFormat/>
    <w:uiPriority w:val="0"/>
    <w:pPr>
      <w:spacing w:line="360" w:lineRule="auto"/>
      <w:ind w:firstLine="200" w:firstLineChars="200"/>
    </w:pPr>
    <w:rPr>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2022-06-01T07:38:00Z</dcterms:created>
  <dc:creator>somnus</dc:creator>
  <cp:lastModifiedBy>somnus</cp:lastModifiedBy>
  <dcterms:modified xsi:type="dcterms:W3CDTF">2022-06-01T07:40:12Z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D49A993914E64D1DA9B3BD73E31B5EF0</vt:lpwstr>
  </property>
</Properties>
</file>